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E21334" w14:textId="77777777" w:rsidR="00C62044" w:rsidRDefault="00282F4C" w:rsidP="00CB7F51">
      <w:pPr>
        <w:spacing w:line="360" w:lineRule="auto"/>
        <w:jc w:val="center"/>
        <w:rPr>
          <w:rFonts w:ascii="Verdana" w:eastAsia="Times New Roman" w:hAnsi="Verdana" w:cs="Times New Roman"/>
          <w:b/>
          <w:bCs/>
          <w:i/>
          <w:sz w:val="28"/>
          <w:szCs w:val="28"/>
          <w:highlight w:val="white"/>
        </w:rPr>
      </w:pPr>
      <w:bookmarkStart w:id="0" w:name="_gjdgxs" w:colFirst="0" w:colLast="0"/>
      <w:bookmarkEnd w:id="0"/>
      <w:r w:rsidRPr="00CB7F51">
        <w:rPr>
          <w:rFonts w:ascii="Verdana" w:eastAsia="Times New Roman" w:hAnsi="Verdana" w:cs="Times New Roman"/>
          <w:b/>
          <w:bCs/>
          <w:i/>
          <w:color w:val="000000"/>
          <w:sz w:val="28"/>
          <w:szCs w:val="28"/>
          <w:highlight w:val="white"/>
        </w:rPr>
        <w:t>La nozione di 'macchina'</w:t>
      </w:r>
      <w:r w:rsidRPr="00CB7F51">
        <w:rPr>
          <w:rFonts w:ascii="Verdana" w:eastAsia="Times New Roman" w:hAnsi="Verdana" w:cs="Times New Roman"/>
          <w:b/>
          <w:bCs/>
          <w:i/>
          <w:sz w:val="28"/>
          <w:szCs w:val="28"/>
          <w:highlight w:val="white"/>
        </w:rPr>
        <w:t>.</w:t>
      </w:r>
    </w:p>
    <w:p w14:paraId="00000001" w14:textId="2AE16B67" w:rsidR="00922161" w:rsidRDefault="00282F4C" w:rsidP="00CB7F51">
      <w:pPr>
        <w:spacing w:line="360" w:lineRule="auto"/>
        <w:jc w:val="center"/>
        <w:rPr>
          <w:rFonts w:ascii="Verdana" w:eastAsia="Times New Roman" w:hAnsi="Verdana" w:cs="Times New Roman"/>
          <w:b/>
          <w:bCs/>
          <w:i/>
          <w:sz w:val="28"/>
          <w:szCs w:val="28"/>
          <w:highlight w:val="white"/>
        </w:rPr>
      </w:pPr>
      <w:r w:rsidRPr="00CB7F51">
        <w:rPr>
          <w:rFonts w:ascii="Verdana" w:eastAsia="Times New Roman" w:hAnsi="Verdana" w:cs="Times New Roman"/>
          <w:b/>
          <w:bCs/>
          <w:i/>
          <w:sz w:val="28"/>
          <w:szCs w:val="28"/>
          <w:highlight w:val="white"/>
        </w:rPr>
        <w:t xml:space="preserve">Uno sguardo retrospettivo, da </w:t>
      </w:r>
      <w:proofErr w:type="spellStart"/>
      <w:r w:rsidRPr="00CB7F51">
        <w:rPr>
          <w:rFonts w:ascii="Verdana" w:eastAsia="Times New Roman" w:hAnsi="Verdana" w:cs="Times New Roman"/>
          <w:b/>
          <w:bCs/>
          <w:i/>
          <w:sz w:val="28"/>
          <w:szCs w:val="28"/>
          <w:highlight w:val="white"/>
        </w:rPr>
        <w:t>Wiener</w:t>
      </w:r>
      <w:proofErr w:type="spellEnd"/>
      <w:r w:rsidRPr="00CB7F51">
        <w:rPr>
          <w:rFonts w:ascii="Verdana" w:eastAsia="Times New Roman" w:hAnsi="Verdana" w:cs="Times New Roman"/>
          <w:b/>
          <w:bCs/>
          <w:i/>
          <w:sz w:val="28"/>
          <w:szCs w:val="28"/>
          <w:highlight w:val="white"/>
        </w:rPr>
        <w:t xml:space="preserve"> a Leonardo</w:t>
      </w:r>
    </w:p>
    <w:p w14:paraId="6F21AB49" w14:textId="77777777" w:rsidR="00C62044" w:rsidRPr="00CB7F51" w:rsidRDefault="00C62044" w:rsidP="00CB7F51">
      <w:pPr>
        <w:spacing w:line="360" w:lineRule="auto"/>
        <w:jc w:val="center"/>
        <w:rPr>
          <w:rFonts w:ascii="Verdana" w:eastAsia="Times New Roman" w:hAnsi="Verdana" w:cs="Times New Roman"/>
          <w:b/>
          <w:bCs/>
          <w:i/>
          <w:color w:val="000000"/>
          <w:sz w:val="28"/>
          <w:szCs w:val="28"/>
          <w:highlight w:val="white"/>
        </w:rPr>
      </w:pPr>
    </w:p>
    <w:p w14:paraId="00000002" w14:textId="4B6C2469" w:rsidR="00922161" w:rsidRPr="00CB7F51" w:rsidRDefault="00282F4C" w:rsidP="00CB7F51">
      <w:pPr>
        <w:spacing w:line="360" w:lineRule="auto"/>
        <w:jc w:val="right"/>
        <w:rPr>
          <w:rFonts w:ascii="Verdana" w:eastAsia="Times New Roman" w:hAnsi="Verdana" w:cs="Times New Roman"/>
          <w:b/>
          <w:bCs/>
          <w:sz w:val="20"/>
          <w:szCs w:val="20"/>
        </w:rPr>
      </w:pPr>
      <w:r w:rsidRPr="00CB7F51">
        <w:rPr>
          <w:rFonts w:ascii="Verdana" w:eastAsia="Times New Roman" w:hAnsi="Verdana" w:cs="Times New Roman"/>
          <w:b/>
          <w:bCs/>
          <w:sz w:val="20"/>
          <w:szCs w:val="20"/>
        </w:rPr>
        <w:t>Barbara Henry</w:t>
      </w:r>
      <w:r w:rsidR="00CB7F51" w:rsidRPr="00CB7F51">
        <w:rPr>
          <w:rStyle w:val="Rimandonotaapidipagina"/>
          <w:rFonts w:ascii="Verdana" w:eastAsia="Times New Roman" w:hAnsi="Verdana" w:cs="Times New Roman"/>
          <w:b/>
          <w:bCs/>
          <w:sz w:val="20"/>
          <w:szCs w:val="20"/>
        </w:rPr>
        <w:footnoteReference w:id="1"/>
      </w:r>
    </w:p>
    <w:p w14:paraId="0B12A76C" w14:textId="77777777" w:rsidR="00C62044" w:rsidRDefault="00C62044" w:rsidP="00CB7F51">
      <w:pPr>
        <w:spacing w:after="0" w:line="360" w:lineRule="auto"/>
        <w:jc w:val="both"/>
        <w:rPr>
          <w:rFonts w:ascii="Verdana" w:eastAsia="Times New Roman" w:hAnsi="Verdana" w:cs="Times New Roman"/>
          <w:b/>
          <w:bCs/>
          <w:iCs/>
          <w:sz w:val="20"/>
          <w:szCs w:val="20"/>
        </w:rPr>
      </w:pPr>
    </w:p>
    <w:p w14:paraId="5C80F606" w14:textId="4DDD53E4" w:rsidR="00CB7F51" w:rsidRPr="00CB7F51" w:rsidRDefault="00CB7F51" w:rsidP="00CB7F51">
      <w:pPr>
        <w:spacing w:after="0" w:line="360" w:lineRule="auto"/>
        <w:jc w:val="both"/>
        <w:rPr>
          <w:rFonts w:ascii="Verdana" w:eastAsia="Times New Roman" w:hAnsi="Verdana" w:cs="Times New Roman"/>
          <w:b/>
          <w:bCs/>
          <w:iCs/>
          <w:sz w:val="20"/>
          <w:szCs w:val="20"/>
        </w:rPr>
      </w:pPr>
      <w:r w:rsidRPr="00CB7F51">
        <w:rPr>
          <w:rFonts w:ascii="Verdana" w:eastAsia="Times New Roman" w:hAnsi="Verdana" w:cs="Times New Roman"/>
          <w:b/>
          <w:bCs/>
          <w:iCs/>
          <w:sz w:val="20"/>
          <w:szCs w:val="20"/>
        </w:rPr>
        <w:t xml:space="preserve">Indice: I. Premessa; II. Cibernetica, tempo presente, criteri </w:t>
      </w:r>
      <w:proofErr w:type="spellStart"/>
      <w:r w:rsidRPr="00CB7F51">
        <w:rPr>
          <w:rFonts w:ascii="Verdana" w:eastAsia="Times New Roman" w:hAnsi="Verdana" w:cs="Times New Roman"/>
          <w:b/>
          <w:bCs/>
          <w:iCs/>
          <w:sz w:val="20"/>
          <w:szCs w:val="20"/>
        </w:rPr>
        <w:t>leornadeschi</w:t>
      </w:r>
      <w:proofErr w:type="spellEnd"/>
      <w:r w:rsidRPr="00CB7F51">
        <w:rPr>
          <w:rFonts w:ascii="Verdana" w:eastAsia="Times New Roman" w:hAnsi="Verdana" w:cs="Times New Roman"/>
          <w:b/>
          <w:bCs/>
          <w:iCs/>
          <w:sz w:val="20"/>
          <w:szCs w:val="20"/>
        </w:rPr>
        <w:t xml:space="preserve"> di interpretazione; III.</w:t>
      </w:r>
      <w:r>
        <w:rPr>
          <w:rFonts w:ascii="Verdana" w:eastAsia="Times New Roman" w:hAnsi="Verdana" w:cs="Times New Roman"/>
          <w:b/>
          <w:bCs/>
          <w:iCs/>
          <w:sz w:val="20"/>
          <w:szCs w:val="20"/>
        </w:rPr>
        <w:t xml:space="preserve"> </w:t>
      </w:r>
      <w:r w:rsidRPr="00CB7F51">
        <w:rPr>
          <w:rFonts w:ascii="Verdana" w:eastAsia="Times New Roman" w:hAnsi="Verdana" w:cs="Times New Roman"/>
          <w:b/>
          <w:bCs/>
          <w:iCs/>
          <w:sz w:val="20"/>
          <w:szCs w:val="20"/>
        </w:rPr>
        <w:t xml:space="preserve">Leonardo celeste, Leonardo terreno; </w:t>
      </w:r>
      <w:r>
        <w:rPr>
          <w:rFonts w:ascii="Verdana" w:eastAsia="Times New Roman" w:hAnsi="Verdana" w:cs="Times New Roman"/>
          <w:b/>
          <w:bCs/>
          <w:iCs/>
          <w:sz w:val="20"/>
          <w:szCs w:val="20"/>
        </w:rPr>
        <w:t xml:space="preserve">IV. </w:t>
      </w:r>
      <w:proofErr w:type="spellStart"/>
      <w:r w:rsidRPr="00CB7F51">
        <w:rPr>
          <w:rFonts w:ascii="Verdana" w:eastAsia="Times New Roman" w:hAnsi="Verdana" w:cs="Times New Roman"/>
          <w:b/>
          <w:bCs/>
          <w:iCs/>
          <w:sz w:val="20"/>
          <w:szCs w:val="20"/>
        </w:rPr>
        <w:t>Scientia</w:t>
      </w:r>
      <w:proofErr w:type="spellEnd"/>
      <w:r w:rsidRPr="00CB7F51">
        <w:rPr>
          <w:rFonts w:ascii="Verdana" w:eastAsia="Times New Roman" w:hAnsi="Verdana" w:cs="Times New Roman"/>
          <w:b/>
          <w:bCs/>
          <w:iCs/>
          <w:sz w:val="20"/>
          <w:szCs w:val="20"/>
        </w:rPr>
        <w:t xml:space="preserve"> </w:t>
      </w:r>
      <w:proofErr w:type="spellStart"/>
      <w:r w:rsidRPr="00CB7F51">
        <w:rPr>
          <w:rFonts w:ascii="Verdana" w:eastAsia="Times New Roman" w:hAnsi="Verdana" w:cs="Times New Roman"/>
          <w:b/>
          <w:bCs/>
          <w:iCs/>
          <w:sz w:val="20"/>
          <w:szCs w:val="20"/>
        </w:rPr>
        <w:t>machinale</w:t>
      </w:r>
      <w:proofErr w:type="spellEnd"/>
      <w:r w:rsidRPr="00CB7F51">
        <w:rPr>
          <w:rFonts w:ascii="Verdana" w:eastAsia="Times New Roman" w:hAnsi="Verdana" w:cs="Times New Roman"/>
          <w:b/>
          <w:bCs/>
          <w:iCs/>
          <w:sz w:val="20"/>
          <w:szCs w:val="20"/>
        </w:rPr>
        <w:t>, macchine di pace, macchine di guerra</w:t>
      </w:r>
      <w:r>
        <w:rPr>
          <w:rFonts w:ascii="Verdana" w:eastAsia="Times New Roman" w:hAnsi="Verdana" w:cs="Times New Roman"/>
          <w:b/>
          <w:bCs/>
          <w:iCs/>
          <w:sz w:val="20"/>
          <w:szCs w:val="20"/>
        </w:rPr>
        <w:t xml:space="preserve">; V. </w:t>
      </w:r>
    </w:p>
    <w:p w14:paraId="7D57D9DC" w14:textId="77777777" w:rsidR="00CB7F51" w:rsidRDefault="00CB7F51" w:rsidP="00CB7F51">
      <w:pPr>
        <w:spacing w:after="0" w:line="360" w:lineRule="auto"/>
        <w:jc w:val="both"/>
        <w:rPr>
          <w:rFonts w:ascii="Verdana" w:eastAsia="Times New Roman" w:hAnsi="Verdana" w:cs="Times New Roman"/>
          <w:b/>
          <w:bCs/>
          <w:i/>
          <w:sz w:val="24"/>
          <w:szCs w:val="24"/>
        </w:rPr>
      </w:pPr>
    </w:p>
    <w:p w14:paraId="00000004" w14:textId="294FA375" w:rsidR="00922161" w:rsidRPr="00CB7F51" w:rsidRDefault="00282F4C" w:rsidP="00CB7F51">
      <w:pPr>
        <w:pStyle w:val="Paragrafoelenco"/>
        <w:numPr>
          <w:ilvl w:val="0"/>
          <w:numId w:val="3"/>
        </w:numPr>
        <w:spacing w:after="0" w:line="360" w:lineRule="auto"/>
        <w:jc w:val="both"/>
        <w:rPr>
          <w:rFonts w:ascii="Verdana" w:eastAsia="Times New Roman" w:hAnsi="Verdana" w:cs="Times New Roman"/>
          <w:b/>
          <w:bCs/>
          <w:iCs/>
          <w:sz w:val="24"/>
          <w:szCs w:val="24"/>
        </w:rPr>
      </w:pPr>
      <w:r w:rsidRPr="00CB7F51">
        <w:rPr>
          <w:rFonts w:ascii="Verdana" w:eastAsia="Times New Roman" w:hAnsi="Verdana" w:cs="Times New Roman"/>
          <w:b/>
          <w:bCs/>
          <w:iCs/>
          <w:sz w:val="24"/>
          <w:szCs w:val="24"/>
        </w:rPr>
        <w:lastRenderedPageBreak/>
        <w:t>Premessa</w:t>
      </w:r>
    </w:p>
    <w:p w14:paraId="00000005" w14:textId="77777777" w:rsidR="00922161" w:rsidRPr="00CB7F51" w:rsidRDefault="00282F4C" w:rsidP="00CB7F51">
      <w:pPr>
        <w:spacing w:after="0" w:line="360" w:lineRule="auto"/>
        <w:ind w:firstLine="708"/>
        <w:jc w:val="both"/>
        <w:rPr>
          <w:rFonts w:ascii="Verdana" w:eastAsia="Times New Roman" w:hAnsi="Verdana" w:cs="Times New Roman"/>
          <w:sz w:val="24"/>
          <w:szCs w:val="24"/>
        </w:rPr>
      </w:pPr>
      <w:r w:rsidRPr="00CB7F51">
        <w:rPr>
          <w:rFonts w:ascii="Verdana" w:eastAsia="Times New Roman" w:hAnsi="Verdana" w:cs="Times New Roman"/>
          <w:sz w:val="24"/>
          <w:szCs w:val="24"/>
        </w:rPr>
        <w:t xml:space="preserve">Se il nucleo del contributo riguarda la nozione di macchina, occorre premettere il criterio di selezione del tema e degli argomenti, o, se preferite, quale sia la chiave di lettura che giustifica l’interesse conoscitivo per il tema. Considerare il significato che Leonardo da Vinci </w:t>
      </w:r>
      <w:r w:rsidRPr="00CB7F51">
        <w:rPr>
          <w:rFonts w:ascii="Verdana" w:eastAsia="Times New Roman" w:hAnsi="Verdana" w:cs="Times New Roman"/>
          <w:sz w:val="24"/>
          <w:szCs w:val="24"/>
          <w:vertAlign w:val="superscript"/>
        </w:rPr>
        <w:footnoteReference w:id="2"/>
      </w:r>
      <w:r w:rsidRPr="00CB7F51">
        <w:rPr>
          <w:rFonts w:ascii="Verdana" w:eastAsia="Times New Roman" w:hAnsi="Verdana" w:cs="Times New Roman"/>
          <w:sz w:val="24"/>
          <w:szCs w:val="24"/>
        </w:rPr>
        <w:t xml:space="preserve"> dava alla nozione di </w:t>
      </w:r>
      <w:r w:rsidRPr="00CB7F51">
        <w:rPr>
          <w:rFonts w:ascii="Verdana" w:eastAsia="Times New Roman" w:hAnsi="Verdana" w:cs="Times New Roman"/>
          <w:i/>
          <w:sz w:val="24"/>
          <w:szCs w:val="24"/>
        </w:rPr>
        <w:t>machina</w:t>
      </w:r>
      <w:r w:rsidRPr="00CB7F51">
        <w:rPr>
          <w:rFonts w:ascii="Verdana" w:eastAsia="Times New Roman" w:hAnsi="Verdana" w:cs="Times New Roman"/>
          <w:sz w:val="24"/>
          <w:szCs w:val="24"/>
        </w:rPr>
        <w:t>, agli attributi di essa (</w:t>
      </w:r>
      <w:proofErr w:type="spellStart"/>
      <w:r w:rsidRPr="00CB7F51">
        <w:rPr>
          <w:rFonts w:ascii="Verdana" w:eastAsia="Times New Roman" w:hAnsi="Verdana" w:cs="Times New Roman"/>
          <w:sz w:val="24"/>
          <w:szCs w:val="24"/>
        </w:rPr>
        <w:t>machinale</w:t>
      </w:r>
      <w:proofErr w:type="spellEnd"/>
      <w:r w:rsidRPr="00CB7F51">
        <w:rPr>
          <w:rFonts w:ascii="Verdana" w:eastAsia="Times New Roman" w:hAnsi="Verdana" w:cs="Times New Roman"/>
          <w:sz w:val="24"/>
          <w:szCs w:val="24"/>
        </w:rPr>
        <w:t xml:space="preserve">, </w:t>
      </w:r>
      <w:r w:rsidRPr="00CB7F51">
        <w:rPr>
          <w:rFonts w:ascii="Verdana" w:eastAsia="Times New Roman" w:hAnsi="Verdana" w:cs="Times New Roman"/>
          <w:i/>
          <w:sz w:val="24"/>
          <w:szCs w:val="24"/>
        </w:rPr>
        <w:t>in primis</w:t>
      </w:r>
      <w:r w:rsidRPr="00CB7F51">
        <w:rPr>
          <w:rFonts w:ascii="Verdana" w:eastAsia="Times New Roman" w:hAnsi="Verdana" w:cs="Times New Roman"/>
          <w:sz w:val="24"/>
          <w:szCs w:val="24"/>
        </w:rPr>
        <w:t>), alla forma di sapere (</w:t>
      </w:r>
      <w:proofErr w:type="spellStart"/>
      <w:r w:rsidRPr="00CB7F51">
        <w:rPr>
          <w:rFonts w:ascii="Verdana" w:eastAsia="Times New Roman" w:hAnsi="Verdana" w:cs="Times New Roman"/>
          <w:i/>
          <w:sz w:val="24"/>
          <w:szCs w:val="24"/>
        </w:rPr>
        <w:t>scientia</w:t>
      </w:r>
      <w:proofErr w:type="spellEnd"/>
      <w:r w:rsidRPr="00CB7F51">
        <w:rPr>
          <w:rFonts w:ascii="Verdana" w:eastAsia="Times New Roman" w:hAnsi="Verdana" w:cs="Times New Roman"/>
          <w:i/>
          <w:sz w:val="24"/>
          <w:szCs w:val="24"/>
        </w:rPr>
        <w:t xml:space="preserve"> </w:t>
      </w:r>
      <w:proofErr w:type="spellStart"/>
      <w:r w:rsidRPr="00CB7F51">
        <w:rPr>
          <w:rFonts w:ascii="Verdana" w:eastAsia="Times New Roman" w:hAnsi="Verdana" w:cs="Times New Roman"/>
          <w:i/>
          <w:sz w:val="24"/>
          <w:szCs w:val="24"/>
        </w:rPr>
        <w:t>machinale</w:t>
      </w:r>
      <w:proofErr w:type="spellEnd"/>
      <w:r w:rsidRPr="00CB7F51">
        <w:rPr>
          <w:rFonts w:ascii="Verdana" w:eastAsia="Times New Roman" w:hAnsi="Verdana" w:cs="Times New Roman"/>
          <w:sz w:val="24"/>
          <w:szCs w:val="24"/>
        </w:rPr>
        <w:t xml:space="preserve">) che ne comprende e mette in essere i princìpi, è il primo passo per collocarci oggi, adottando un’ottica retrospettiva, nella più ampia discussione sul posto dell’umano entro la condizione bio-tecnologica. E’ quest’ultima la condizione della </w:t>
      </w:r>
      <w:proofErr w:type="spellStart"/>
      <w:r w:rsidRPr="00CB7F51">
        <w:rPr>
          <w:rFonts w:ascii="Verdana" w:eastAsia="Times New Roman" w:hAnsi="Verdana" w:cs="Times New Roman"/>
          <w:sz w:val="24"/>
          <w:szCs w:val="24"/>
        </w:rPr>
        <w:t>interconessione</w:t>
      </w:r>
      <w:proofErr w:type="spellEnd"/>
      <w:r w:rsidRPr="00CB7F51">
        <w:rPr>
          <w:rFonts w:ascii="Verdana" w:eastAsia="Times New Roman" w:hAnsi="Verdana" w:cs="Times New Roman"/>
          <w:sz w:val="24"/>
          <w:szCs w:val="24"/>
        </w:rPr>
        <w:t xml:space="preserve">/compenetrazione fra umano e macchinico, che ci accompagna dalla nostra comparsa sul pianeta fino al tempo presente come specie vivente, e di tipo molto particolare </w:t>
      </w:r>
      <w:r w:rsidRPr="00CB7F51">
        <w:rPr>
          <w:rFonts w:ascii="Verdana" w:eastAsia="Times New Roman" w:hAnsi="Verdana" w:cs="Times New Roman"/>
          <w:sz w:val="24"/>
          <w:szCs w:val="24"/>
          <w:vertAlign w:val="superscript"/>
        </w:rPr>
        <w:footnoteReference w:id="3"/>
      </w:r>
      <w:r w:rsidRPr="00CB7F51">
        <w:rPr>
          <w:rFonts w:ascii="Verdana" w:eastAsia="Times New Roman" w:hAnsi="Verdana" w:cs="Times New Roman"/>
          <w:sz w:val="24"/>
          <w:szCs w:val="24"/>
        </w:rPr>
        <w:t xml:space="preserve">. Siamo mammiferi dotati di postura eretta, di uso oppositivo del pollice nella mano - che è stata definita l’organo proiezione e il prototipo di ogni strumento tecnico -; non da ultimo, siamo equipaggiati di una capacità simbolico/astrattiva attivata dalla struttura </w:t>
      </w:r>
      <w:r w:rsidRPr="00CB7F51">
        <w:rPr>
          <w:rFonts w:ascii="Verdana" w:eastAsia="Times New Roman" w:hAnsi="Verdana" w:cs="Times New Roman"/>
          <w:sz w:val="24"/>
          <w:szCs w:val="24"/>
        </w:rPr>
        <w:lastRenderedPageBreak/>
        <w:t xml:space="preserve">cerebrale ed innestata nello schema corporeo. Per noi, materialità e immaterialità sono indistricabilmente connesse tramite simboli, di cui gli strumenti tecnici sono parte integrante. Per alcuni studiosi/e questo nesso sarebbe stato trasformato dalla cosiddetta rivoluzione digitale, a cui occorre brevemente riferirsi per spiegare il significato che Leonardo cultore di </w:t>
      </w:r>
      <w:proofErr w:type="spellStart"/>
      <w:r w:rsidRPr="00CB7F51">
        <w:rPr>
          <w:rFonts w:ascii="Verdana" w:eastAsia="Times New Roman" w:hAnsi="Verdana" w:cs="Times New Roman"/>
          <w:i/>
          <w:sz w:val="24"/>
          <w:szCs w:val="24"/>
        </w:rPr>
        <w:t>scientia</w:t>
      </w:r>
      <w:proofErr w:type="spellEnd"/>
      <w:r w:rsidRPr="00CB7F51">
        <w:rPr>
          <w:rFonts w:ascii="Verdana" w:eastAsia="Times New Roman" w:hAnsi="Verdana" w:cs="Times New Roman"/>
          <w:i/>
          <w:sz w:val="24"/>
          <w:szCs w:val="24"/>
        </w:rPr>
        <w:t xml:space="preserve"> </w:t>
      </w:r>
      <w:proofErr w:type="spellStart"/>
      <w:r w:rsidRPr="00CB7F51">
        <w:rPr>
          <w:rFonts w:ascii="Verdana" w:eastAsia="Times New Roman" w:hAnsi="Verdana" w:cs="Times New Roman"/>
          <w:i/>
          <w:sz w:val="24"/>
          <w:szCs w:val="24"/>
        </w:rPr>
        <w:t>machinale</w:t>
      </w:r>
      <w:proofErr w:type="spellEnd"/>
      <w:r w:rsidRPr="00CB7F51">
        <w:rPr>
          <w:rFonts w:ascii="Verdana" w:eastAsia="Times New Roman" w:hAnsi="Verdana" w:cs="Times New Roman"/>
          <w:sz w:val="24"/>
          <w:szCs w:val="24"/>
        </w:rPr>
        <w:t xml:space="preserve"> ha per noi oggi.</w:t>
      </w:r>
    </w:p>
    <w:p w14:paraId="00000006" w14:textId="77777777" w:rsidR="00922161" w:rsidRPr="00CB7F51" w:rsidRDefault="00922161" w:rsidP="00CB7F51">
      <w:pPr>
        <w:spacing w:after="0" w:line="360" w:lineRule="auto"/>
        <w:ind w:firstLine="708"/>
        <w:jc w:val="both"/>
        <w:rPr>
          <w:rFonts w:ascii="Verdana" w:eastAsia="Times New Roman" w:hAnsi="Verdana" w:cs="Times New Roman"/>
          <w:sz w:val="24"/>
          <w:szCs w:val="24"/>
        </w:rPr>
      </w:pPr>
    </w:p>
    <w:p w14:paraId="00000007" w14:textId="2A3B00DC" w:rsidR="00922161" w:rsidRPr="00CB7F51" w:rsidRDefault="00282F4C" w:rsidP="00CB7F51">
      <w:pPr>
        <w:pStyle w:val="Paragrafoelenco"/>
        <w:numPr>
          <w:ilvl w:val="0"/>
          <w:numId w:val="3"/>
        </w:numPr>
        <w:pBdr>
          <w:top w:val="nil"/>
          <w:left w:val="nil"/>
          <w:bottom w:val="nil"/>
          <w:right w:val="nil"/>
          <w:between w:val="nil"/>
        </w:pBdr>
        <w:spacing w:after="0" w:line="360" w:lineRule="auto"/>
        <w:jc w:val="both"/>
        <w:rPr>
          <w:rFonts w:ascii="Verdana" w:eastAsia="Times New Roman" w:hAnsi="Verdana" w:cs="Times New Roman"/>
          <w:b/>
          <w:bCs/>
          <w:iCs/>
          <w:color w:val="000000"/>
          <w:sz w:val="24"/>
          <w:szCs w:val="24"/>
        </w:rPr>
      </w:pPr>
      <w:r w:rsidRPr="00CB7F51">
        <w:rPr>
          <w:rFonts w:ascii="Verdana" w:eastAsia="Times New Roman" w:hAnsi="Verdana" w:cs="Times New Roman"/>
          <w:b/>
          <w:bCs/>
          <w:iCs/>
          <w:color w:val="000000"/>
          <w:sz w:val="24"/>
          <w:szCs w:val="24"/>
        </w:rPr>
        <w:t xml:space="preserve">Cibernetica, tempo presente, criteri </w:t>
      </w:r>
      <w:proofErr w:type="spellStart"/>
      <w:r w:rsidRPr="00CB7F51">
        <w:rPr>
          <w:rFonts w:ascii="Verdana" w:eastAsia="Times New Roman" w:hAnsi="Verdana" w:cs="Times New Roman"/>
          <w:b/>
          <w:bCs/>
          <w:iCs/>
          <w:color w:val="000000"/>
          <w:sz w:val="24"/>
          <w:szCs w:val="24"/>
        </w:rPr>
        <w:t>leornadeschi</w:t>
      </w:r>
      <w:proofErr w:type="spellEnd"/>
      <w:r w:rsidRPr="00CB7F51">
        <w:rPr>
          <w:rFonts w:ascii="Verdana" w:eastAsia="Times New Roman" w:hAnsi="Verdana" w:cs="Times New Roman"/>
          <w:b/>
          <w:bCs/>
          <w:iCs/>
          <w:color w:val="000000"/>
          <w:sz w:val="24"/>
          <w:szCs w:val="24"/>
        </w:rPr>
        <w:t xml:space="preserve"> di interpretazione</w:t>
      </w:r>
    </w:p>
    <w:p w14:paraId="00000008" w14:textId="77777777" w:rsidR="00922161" w:rsidRPr="00CB7F51" w:rsidRDefault="00922161" w:rsidP="00CB7F51">
      <w:pPr>
        <w:pBdr>
          <w:top w:val="nil"/>
          <w:left w:val="nil"/>
          <w:bottom w:val="nil"/>
          <w:right w:val="nil"/>
          <w:between w:val="nil"/>
        </w:pBdr>
        <w:spacing w:after="0" w:line="360" w:lineRule="auto"/>
        <w:ind w:left="720"/>
        <w:jc w:val="both"/>
        <w:rPr>
          <w:rFonts w:ascii="Verdana" w:eastAsia="Times New Roman" w:hAnsi="Verdana" w:cs="Times New Roman"/>
          <w:color w:val="000000"/>
          <w:sz w:val="24"/>
          <w:szCs w:val="24"/>
        </w:rPr>
      </w:pPr>
    </w:p>
    <w:p w14:paraId="00000009" w14:textId="77777777" w:rsidR="00922161" w:rsidRPr="00CB7F51" w:rsidRDefault="00282F4C" w:rsidP="00CB7F51">
      <w:pPr>
        <w:spacing w:after="0" w:line="360" w:lineRule="auto"/>
        <w:ind w:firstLine="708"/>
        <w:jc w:val="both"/>
        <w:rPr>
          <w:rFonts w:ascii="Verdana" w:eastAsia="Times New Roman" w:hAnsi="Verdana" w:cs="Times New Roman"/>
          <w:sz w:val="24"/>
          <w:szCs w:val="24"/>
        </w:rPr>
      </w:pPr>
      <w:r w:rsidRPr="00CB7F51">
        <w:rPr>
          <w:rFonts w:ascii="Verdana" w:eastAsia="Times New Roman" w:hAnsi="Verdana" w:cs="Times New Roman"/>
          <w:sz w:val="24"/>
          <w:szCs w:val="24"/>
        </w:rPr>
        <w:t xml:space="preserve">Le narrative contemporanee molto diffuse e pervasive ci parlano da decenni di fasi storiche e di cambiamenti epocali coinvolgenti tutti gli aspetti della vita collettiva, pur con diversità locali, nelle varie parti del globo. Come esempio di successo, è stato detto che la fase storica, e tecnologica che ci caratterizza è la rivoluzione </w:t>
      </w:r>
      <w:r w:rsidRPr="00CB7F51">
        <w:rPr>
          <w:rFonts w:ascii="Verdana" w:eastAsia="Times New Roman" w:hAnsi="Verdana" w:cs="Times New Roman"/>
          <w:i/>
          <w:sz w:val="24"/>
          <w:szCs w:val="24"/>
        </w:rPr>
        <w:t>digitale</w:t>
      </w:r>
      <w:r w:rsidRPr="00CB7F51">
        <w:rPr>
          <w:rFonts w:ascii="Verdana" w:eastAsia="Times New Roman" w:hAnsi="Verdana" w:cs="Times New Roman"/>
          <w:sz w:val="24"/>
          <w:szCs w:val="24"/>
        </w:rPr>
        <w:t>. Questa indica: il pervasivo impiego di macchine e algoritmi che hanno perso la rigidità replicativa del passato sta cambiando i modi di fare fabbrica e impresa, di dare senso al consumo e alle relazioni sociali e politiche. I dispositivi digitali di oggi diventano sempre più capaci di interagire con le nostre idee e capacità, fornendoci servizi sempre più flessibili, personalizzati, collaborativi. La moltiplicazione esponenziale via Web delle connessioni multiple e continue per mezzo di terminali avviene tra informazioni, tecnologie digitali e posizionamenti umani, ossia fra situazioni localizzate e relazioni astratte di scambio personale, economico, sociale, politico.</w:t>
      </w:r>
    </w:p>
    <w:p w14:paraId="0000000A" w14:textId="77777777" w:rsidR="00922161" w:rsidRPr="00CB7F51" w:rsidRDefault="00282F4C" w:rsidP="00CB7F51">
      <w:pPr>
        <w:spacing w:line="360" w:lineRule="auto"/>
        <w:ind w:firstLine="708"/>
        <w:jc w:val="both"/>
        <w:rPr>
          <w:rFonts w:ascii="Verdana" w:hAnsi="Verdana"/>
          <w:sz w:val="24"/>
          <w:szCs w:val="24"/>
        </w:rPr>
      </w:pPr>
      <w:r w:rsidRPr="00CB7F51">
        <w:rPr>
          <w:rFonts w:ascii="Verdana" w:eastAsia="Times New Roman" w:hAnsi="Verdana" w:cs="Times New Roman"/>
          <w:sz w:val="24"/>
          <w:szCs w:val="24"/>
        </w:rPr>
        <w:t xml:space="preserve">Qualora si accetti acriticamente questa descrizione del tempo presente, si dimentica di dire altro: ossia che la rivoluzione digitale segue cronologicamente o addirittura si colloca su una linea di derivazione alla rivoluzione </w:t>
      </w:r>
      <w:r w:rsidRPr="00CB7F51">
        <w:rPr>
          <w:rFonts w:ascii="Verdana" w:eastAsia="Times New Roman" w:hAnsi="Verdana" w:cs="Times New Roman"/>
          <w:i/>
          <w:sz w:val="24"/>
          <w:szCs w:val="24"/>
        </w:rPr>
        <w:t>cibernetica</w:t>
      </w:r>
      <w:r w:rsidRPr="00CB7F51">
        <w:rPr>
          <w:rFonts w:ascii="Verdana" w:eastAsia="Times New Roman" w:hAnsi="Verdana" w:cs="Times New Roman"/>
          <w:sz w:val="24"/>
          <w:szCs w:val="24"/>
        </w:rPr>
        <w:t xml:space="preserve">. Si ricordi che per </w:t>
      </w:r>
      <w:proofErr w:type="spellStart"/>
      <w:r w:rsidRPr="00CB7F51">
        <w:rPr>
          <w:rFonts w:ascii="Verdana" w:eastAsia="Times New Roman" w:hAnsi="Verdana" w:cs="Times New Roman"/>
          <w:sz w:val="24"/>
          <w:szCs w:val="24"/>
        </w:rPr>
        <w:t>Norbert</w:t>
      </w:r>
      <w:proofErr w:type="spellEnd"/>
      <w:r w:rsidRPr="00CB7F51">
        <w:rPr>
          <w:rFonts w:ascii="Verdana" w:eastAsia="Times New Roman" w:hAnsi="Verdana" w:cs="Times New Roman"/>
          <w:sz w:val="24"/>
          <w:szCs w:val="24"/>
        </w:rPr>
        <w:t xml:space="preserve"> </w:t>
      </w:r>
      <w:proofErr w:type="spellStart"/>
      <w:r w:rsidRPr="00CB7F51">
        <w:rPr>
          <w:rFonts w:ascii="Verdana" w:eastAsia="Times New Roman" w:hAnsi="Verdana" w:cs="Times New Roman"/>
          <w:sz w:val="24"/>
          <w:szCs w:val="24"/>
        </w:rPr>
        <w:t>Wiener</w:t>
      </w:r>
      <w:proofErr w:type="spellEnd"/>
      <w:r w:rsidRPr="00CB7F51">
        <w:rPr>
          <w:rFonts w:ascii="Verdana" w:eastAsia="Times New Roman" w:hAnsi="Verdana" w:cs="Times New Roman"/>
          <w:sz w:val="24"/>
          <w:szCs w:val="24"/>
        </w:rPr>
        <w:t xml:space="preserve">, la </w:t>
      </w:r>
      <w:r w:rsidRPr="00CB7F51">
        <w:rPr>
          <w:rFonts w:ascii="Verdana" w:eastAsia="Times New Roman" w:hAnsi="Verdana" w:cs="Times New Roman"/>
          <w:i/>
          <w:sz w:val="24"/>
          <w:szCs w:val="24"/>
        </w:rPr>
        <w:t xml:space="preserve">scienza </w:t>
      </w:r>
      <w:proofErr w:type="spellStart"/>
      <w:r w:rsidRPr="00CB7F51">
        <w:rPr>
          <w:rFonts w:ascii="Verdana" w:eastAsia="Times New Roman" w:hAnsi="Verdana" w:cs="Times New Roman"/>
          <w:i/>
          <w:sz w:val="24"/>
          <w:szCs w:val="24"/>
        </w:rPr>
        <w:t>nocchiera</w:t>
      </w:r>
      <w:proofErr w:type="spellEnd"/>
      <w:r w:rsidRPr="00CB7F51">
        <w:rPr>
          <w:rFonts w:ascii="Verdana" w:eastAsia="Times New Roman" w:hAnsi="Verdana" w:cs="Times New Roman"/>
          <w:sz w:val="24"/>
          <w:szCs w:val="24"/>
        </w:rPr>
        <w:t xml:space="preserve">, la cibernetica appunto, è la disciplina che si occupa dello studio integrato della comunicazione e del controllo nell’animale (essere </w:t>
      </w:r>
      <w:r w:rsidRPr="00CB7F51">
        <w:rPr>
          <w:rFonts w:ascii="Verdana" w:eastAsia="Times New Roman" w:hAnsi="Verdana" w:cs="Times New Roman"/>
          <w:i/>
          <w:sz w:val="24"/>
          <w:szCs w:val="24"/>
        </w:rPr>
        <w:t>animato</w:t>
      </w:r>
      <w:r w:rsidRPr="00CB7F51">
        <w:rPr>
          <w:rFonts w:ascii="Verdana" w:eastAsia="Times New Roman" w:hAnsi="Verdana" w:cs="Times New Roman"/>
          <w:sz w:val="24"/>
          <w:szCs w:val="24"/>
        </w:rPr>
        <w:t xml:space="preserve">) e nella macchina, entrambi intesi come </w:t>
      </w:r>
      <w:r w:rsidRPr="00CB7F51">
        <w:rPr>
          <w:rFonts w:ascii="Verdana" w:eastAsia="Times New Roman" w:hAnsi="Verdana" w:cs="Times New Roman"/>
          <w:i/>
          <w:sz w:val="24"/>
          <w:szCs w:val="24"/>
        </w:rPr>
        <w:t>sistemi, caratterizzati tanto da materialità quanto da astrazione</w:t>
      </w:r>
      <w:r w:rsidRPr="00CB7F51">
        <w:rPr>
          <w:rFonts w:ascii="Verdana" w:eastAsia="Times New Roman" w:hAnsi="Verdana" w:cs="Times New Roman"/>
          <w:sz w:val="24"/>
          <w:szCs w:val="24"/>
        </w:rPr>
        <w:t xml:space="preserve">. Ciò per dire che: la rivoluzione cibernetica non soltanto anticipa ma tuttora include, con </w:t>
      </w:r>
      <w:r w:rsidRPr="00CB7F51">
        <w:rPr>
          <w:rFonts w:ascii="Verdana" w:eastAsia="Times New Roman" w:hAnsi="Verdana" w:cs="Times New Roman"/>
          <w:sz w:val="24"/>
          <w:szCs w:val="24"/>
        </w:rPr>
        <w:lastRenderedPageBreak/>
        <w:t xml:space="preserve">implicazioni consistenti, la rivoluzione digitale. Con l’avvento della cibernetica, infatti, i processi di progressiva smaterializzazione delle entità e delle tecnologie erano già iniziati, ma non hanno con ciò sostituito, anzi piuttosto complicato nel numero e nelle variazioni i vincoli e le densità, simboliche e fisiche, della materialità, tanto umana (corporea ed organica) quanto ‘macchinica’ (artificiale/protesica). Sul versante macchinico, abbiamo molto da recuperare o da imparare </w:t>
      </w:r>
      <w:r w:rsidRPr="00CB7F51">
        <w:rPr>
          <w:rFonts w:ascii="Verdana" w:eastAsia="Times New Roman" w:hAnsi="Verdana" w:cs="Times New Roman"/>
          <w:i/>
          <w:sz w:val="24"/>
          <w:szCs w:val="24"/>
        </w:rPr>
        <w:t>ex novo</w:t>
      </w:r>
      <w:r w:rsidRPr="00CB7F51">
        <w:rPr>
          <w:rFonts w:ascii="Verdana" w:eastAsia="Times New Roman" w:hAnsi="Verdana" w:cs="Times New Roman"/>
          <w:sz w:val="24"/>
          <w:szCs w:val="24"/>
        </w:rPr>
        <w:t xml:space="preserve"> da Leonardo da Vinci, ‘discepolo di </w:t>
      </w:r>
      <w:proofErr w:type="spellStart"/>
      <w:r w:rsidRPr="00CB7F51">
        <w:rPr>
          <w:rFonts w:ascii="Verdana" w:eastAsia="Times New Roman" w:hAnsi="Verdana" w:cs="Times New Roman"/>
          <w:sz w:val="24"/>
          <w:szCs w:val="24"/>
        </w:rPr>
        <w:t>sperienza</w:t>
      </w:r>
      <w:proofErr w:type="spellEnd"/>
      <w:r w:rsidRPr="00CB7F51">
        <w:rPr>
          <w:rFonts w:ascii="Verdana" w:eastAsia="Times New Roman" w:hAnsi="Verdana" w:cs="Times New Roman"/>
          <w:sz w:val="24"/>
          <w:szCs w:val="24"/>
        </w:rPr>
        <w:t>’ secondo la sua stessa autodefinizione, ed artista-fabbricatore animato da facoltà immaginative tanto visionarie quanto realistiche, come sono quella dei suoi schizzi e progetti ‘</w:t>
      </w:r>
      <w:proofErr w:type="spellStart"/>
      <w:r w:rsidRPr="00CB7F51">
        <w:rPr>
          <w:rFonts w:ascii="Verdana" w:eastAsia="Times New Roman" w:hAnsi="Verdana" w:cs="Times New Roman"/>
          <w:i/>
          <w:sz w:val="24"/>
          <w:szCs w:val="24"/>
        </w:rPr>
        <w:t>machinali</w:t>
      </w:r>
      <w:proofErr w:type="spellEnd"/>
      <w:r w:rsidRPr="00CB7F51">
        <w:rPr>
          <w:rFonts w:ascii="Verdana" w:eastAsia="Times New Roman" w:hAnsi="Verdana" w:cs="Times New Roman"/>
          <w:sz w:val="24"/>
          <w:szCs w:val="24"/>
        </w:rPr>
        <w:t>’.</w:t>
      </w:r>
    </w:p>
    <w:p w14:paraId="0000000B" w14:textId="74FD2F19" w:rsidR="00922161" w:rsidRPr="00CB7F51" w:rsidRDefault="00282F4C" w:rsidP="00CB7F51">
      <w:pPr>
        <w:pStyle w:val="Paragrafoelenco"/>
        <w:numPr>
          <w:ilvl w:val="0"/>
          <w:numId w:val="3"/>
        </w:numPr>
        <w:spacing w:line="360" w:lineRule="auto"/>
        <w:jc w:val="both"/>
        <w:rPr>
          <w:rFonts w:ascii="Verdana" w:eastAsia="Times New Roman" w:hAnsi="Verdana" w:cs="Times New Roman"/>
          <w:b/>
          <w:bCs/>
          <w:sz w:val="24"/>
          <w:szCs w:val="24"/>
        </w:rPr>
      </w:pPr>
      <w:r w:rsidRPr="00CB7F51">
        <w:rPr>
          <w:rFonts w:ascii="Verdana" w:eastAsia="Times New Roman" w:hAnsi="Verdana" w:cs="Times New Roman"/>
          <w:b/>
          <w:bCs/>
          <w:i/>
          <w:sz w:val="24"/>
          <w:szCs w:val="24"/>
        </w:rPr>
        <w:t>Leonardo celeste, Leonardo terreno</w:t>
      </w:r>
    </w:p>
    <w:p w14:paraId="0000000C" w14:textId="3C6B7673" w:rsidR="00922161" w:rsidRPr="00CB7F51" w:rsidRDefault="00282F4C" w:rsidP="00CB7F51">
      <w:pPr>
        <w:spacing w:line="360" w:lineRule="auto"/>
        <w:ind w:firstLine="708"/>
        <w:jc w:val="both"/>
        <w:rPr>
          <w:rFonts w:ascii="Verdana" w:eastAsia="Times New Roman" w:hAnsi="Verdana" w:cs="Times New Roman"/>
          <w:sz w:val="24"/>
          <w:szCs w:val="24"/>
        </w:rPr>
      </w:pPr>
      <w:r w:rsidRPr="00CB7F51">
        <w:rPr>
          <w:rFonts w:ascii="Verdana" w:eastAsia="Times New Roman" w:hAnsi="Verdana" w:cs="Times New Roman"/>
          <w:sz w:val="24"/>
          <w:szCs w:val="24"/>
        </w:rPr>
        <w:t xml:space="preserve">Leonardo, “mirabile e celeste”, diviene emblema di coloro che per Vasari, nelle </w:t>
      </w:r>
      <w:r w:rsidRPr="00CB7F51">
        <w:rPr>
          <w:rFonts w:ascii="Verdana" w:eastAsia="Times New Roman" w:hAnsi="Verdana" w:cs="Times New Roman"/>
          <w:i/>
          <w:sz w:val="24"/>
          <w:szCs w:val="24"/>
        </w:rPr>
        <w:t>Vite dei più eccellenti architetti, pittori, et scultori italiani</w:t>
      </w:r>
      <w:r w:rsidRPr="00CB7F51">
        <w:rPr>
          <w:rFonts w:ascii="Verdana" w:eastAsia="Times New Roman" w:hAnsi="Verdana" w:cs="Times New Roman"/>
          <w:sz w:val="24"/>
          <w:szCs w:val="24"/>
          <w:vertAlign w:val="superscript"/>
        </w:rPr>
        <w:footnoteReference w:id="4"/>
      </w:r>
      <w:r w:rsidRPr="00CB7F51">
        <w:rPr>
          <w:rFonts w:ascii="Verdana" w:eastAsia="Times New Roman" w:hAnsi="Verdana" w:cs="Times New Roman"/>
          <w:sz w:val="24"/>
          <w:szCs w:val="24"/>
        </w:rPr>
        <w:t xml:space="preserve"> “non rappresentano la umanità sola, ma la divinità istessa, acciò da quella come da modello, imitandolo, possiamo accostarci con l’animo e con l’</w:t>
      </w:r>
      <w:proofErr w:type="spellStart"/>
      <w:r w:rsidRPr="00CB7F51">
        <w:rPr>
          <w:rFonts w:ascii="Verdana" w:eastAsia="Times New Roman" w:hAnsi="Verdana" w:cs="Times New Roman"/>
          <w:sz w:val="24"/>
          <w:szCs w:val="24"/>
        </w:rPr>
        <w:t>eccellenzia</w:t>
      </w:r>
      <w:proofErr w:type="spellEnd"/>
      <w:r w:rsidRPr="00CB7F51">
        <w:rPr>
          <w:rFonts w:ascii="Verdana" w:eastAsia="Times New Roman" w:hAnsi="Verdana" w:cs="Times New Roman"/>
          <w:sz w:val="24"/>
          <w:szCs w:val="24"/>
        </w:rPr>
        <w:t xml:space="preserve"> dell’intelletto alle parti somme del cielo. […]. Laicamente, significa aspirare alle somme vette del perfezionamento delle facoltà umane, come già Pico della Mirandola aveva e tuttora invita a fare, nell’orazione </w:t>
      </w:r>
      <w:r w:rsidRPr="00CB7F51">
        <w:rPr>
          <w:rFonts w:ascii="Verdana" w:eastAsia="Times New Roman" w:hAnsi="Verdana" w:cs="Times New Roman"/>
          <w:i/>
          <w:sz w:val="24"/>
          <w:szCs w:val="24"/>
        </w:rPr>
        <w:t xml:space="preserve">De </w:t>
      </w:r>
      <w:proofErr w:type="spellStart"/>
      <w:r w:rsidRPr="00CB7F51">
        <w:rPr>
          <w:rFonts w:ascii="Verdana" w:eastAsia="Times New Roman" w:hAnsi="Verdana" w:cs="Times New Roman"/>
          <w:i/>
          <w:sz w:val="24"/>
          <w:szCs w:val="24"/>
        </w:rPr>
        <w:t>hominis</w:t>
      </w:r>
      <w:proofErr w:type="spellEnd"/>
      <w:r w:rsidRPr="00CB7F51">
        <w:rPr>
          <w:rFonts w:ascii="Verdana" w:eastAsia="Times New Roman" w:hAnsi="Verdana" w:cs="Times New Roman"/>
          <w:i/>
          <w:sz w:val="24"/>
          <w:szCs w:val="24"/>
        </w:rPr>
        <w:t xml:space="preserve"> </w:t>
      </w:r>
      <w:proofErr w:type="spellStart"/>
      <w:r w:rsidRPr="00CB7F51">
        <w:rPr>
          <w:rFonts w:ascii="Verdana" w:eastAsia="Times New Roman" w:hAnsi="Verdana" w:cs="Times New Roman"/>
          <w:i/>
          <w:sz w:val="24"/>
          <w:szCs w:val="24"/>
        </w:rPr>
        <w:t>dignitate</w:t>
      </w:r>
      <w:proofErr w:type="spellEnd"/>
      <w:r w:rsidRPr="00CB7F51">
        <w:rPr>
          <w:rFonts w:ascii="Verdana" w:eastAsia="Times New Roman" w:hAnsi="Verdana" w:cs="Times New Roman"/>
          <w:sz w:val="24"/>
          <w:szCs w:val="24"/>
        </w:rPr>
        <w:t xml:space="preserve"> del 1496 e questa consonanza fra l’esemplarità di Leonardo e l’umanesimo la difendo, nonostante i contrasti che divisero da Leonardo i platonici fiorentini e gli umanisti rispetto allo statuto scientifico della matematica e al ruolo dell’esperienza nella vera scienza. Tale esemplarità eccentrica è appunto comprensibile se teniamo presente che e</w:t>
      </w:r>
      <w:r w:rsidRPr="00CB7F51">
        <w:rPr>
          <w:rFonts w:ascii="Verdana" w:eastAsia="Times New Roman" w:hAnsi="Verdana" w:cs="Times New Roman"/>
          <w:color w:val="000000"/>
          <w:sz w:val="24"/>
          <w:szCs w:val="24"/>
        </w:rPr>
        <w:t xml:space="preserve">minenti studiosi vinciani come M. </w:t>
      </w:r>
      <w:proofErr w:type="spellStart"/>
      <w:r w:rsidRPr="00CB7F51">
        <w:rPr>
          <w:rFonts w:ascii="Verdana" w:eastAsia="Times New Roman" w:hAnsi="Verdana" w:cs="Times New Roman"/>
          <w:color w:val="000000"/>
          <w:sz w:val="24"/>
          <w:szCs w:val="24"/>
        </w:rPr>
        <w:t>Versiero</w:t>
      </w:r>
      <w:proofErr w:type="spellEnd"/>
      <w:r w:rsidRPr="00CB7F51">
        <w:rPr>
          <w:rFonts w:ascii="Verdana" w:eastAsia="Times New Roman" w:hAnsi="Verdana" w:cs="Times New Roman"/>
          <w:color w:val="000000"/>
          <w:sz w:val="24"/>
          <w:szCs w:val="24"/>
        </w:rPr>
        <w:t xml:space="preserve"> rinviano ad una ben più variegata cornice che permette di definire il Rinascimento prestando maggior attenzione agli aspetti di una continuità </w:t>
      </w:r>
      <w:r w:rsidRPr="00CB7F51">
        <w:rPr>
          <w:rFonts w:ascii="Verdana" w:eastAsia="Times New Roman" w:hAnsi="Verdana" w:cs="Times New Roman"/>
          <w:i/>
          <w:color w:val="000000"/>
          <w:sz w:val="24"/>
          <w:szCs w:val="24"/>
        </w:rPr>
        <w:t>composita</w:t>
      </w:r>
      <w:r w:rsidRPr="00CB7F51">
        <w:rPr>
          <w:rFonts w:ascii="Verdana" w:eastAsia="Times New Roman" w:hAnsi="Verdana" w:cs="Times New Roman"/>
          <w:color w:val="000000"/>
          <w:sz w:val="24"/>
          <w:szCs w:val="24"/>
        </w:rPr>
        <w:t xml:space="preserve"> rispetto al passato, della tarda antichità ellenistica, e non soltanto classica, ad esempio. Entro questo contesto di riferimento “si distinse una corrente concettuale alternativa e parallela alla cultura umanistica ufficiale, la cui matrice, serpeggiante attraverso gli epicentri del Rinascimento italiano, tra fine XV e inizio XVI secolo, apparve contraddistinta da una peculiare </w:t>
      </w:r>
      <w:r w:rsidRPr="00CB7F51">
        <w:rPr>
          <w:rFonts w:ascii="Verdana" w:eastAsia="Times New Roman" w:hAnsi="Verdana" w:cs="Times New Roman"/>
          <w:color w:val="000000"/>
          <w:sz w:val="24"/>
          <w:szCs w:val="24"/>
        </w:rPr>
        <w:lastRenderedPageBreak/>
        <w:t>inquietudine, sia letteraria sia figurativa, declinata in chiave “umbratile” e corrusca; (essa) si avvalse del ricorso a ipostasi ontologiche, dialettiche e iconografiche, in grado di smontare e demistificare il celebrato protagonismo antropocentrico dell’</w:t>
      </w:r>
      <w:r w:rsidRPr="00CB7F51">
        <w:rPr>
          <w:rFonts w:ascii="Verdana" w:eastAsia="Times New Roman" w:hAnsi="Verdana" w:cs="Times New Roman"/>
          <w:i/>
          <w:color w:val="000000"/>
          <w:sz w:val="24"/>
          <w:szCs w:val="24"/>
        </w:rPr>
        <w:t xml:space="preserve">homo </w:t>
      </w:r>
      <w:proofErr w:type="spellStart"/>
      <w:r w:rsidRPr="00CB7F51">
        <w:rPr>
          <w:rFonts w:ascii="Verdana" w:eastAsia="Times New Roman" w:hAnsi="Verdana" w:cs="Times New Roman"/>
          <w:i/>
          <w:color w:val="000000"/>
          <w:sz w:val="24"/>
          <w:szCs w:val="24"/>
        </w:rPr>
        <w:t>faber</w:t>
      </w:r>
      <w:proofErr w:type="spellEnd"/>
      <w:r w:rsidRPr="00CB7F51">
        <w:rPr>
          <w:rFonts w:ascii="Verdana" w:eastAsia="Times New Roman" w:hAnsi="Verdana" w:cs="Times New Roman"/>
          <w:color w:val="000000"/>
          <w:sz w:val="24"/>
          <w:szCs w:val="24"/>
        </w:rPr>
        <w:t xml:space="preserve">, introiettando anzi un severo </w:t>
      </w:r>
      <w:proofErr w:type="spellStart"/>
      <w:r w:rsidRPr="00CB7F51">
        <w:rPr>
          <w:rFonts w:ascii="Verdana" w:eastAsia="Times New Roman" w:hAnsi="Verdana" w:cs="Times New Roman"/>
          <w:color w:val="000000"/>
          <w:sz w:val="24"/>
          <w:szCs w:val="24"/>
        </w:rPr>
        <w:t>misantropismo</w:t>
      </w:r>
      <w:proofErr w:type="spellEnd"/>
      <w:r w:rsidRPr="00CB7F51">
        <w:rPr>
          <w:rFonts w:ascii="Verdana" w:eastAsia="Times New Roman" w:hAnsi="Verdana" w:cs="Times New Roman"/>
          <w:color w:val="000000"/>
          <w:sz w:val="24"/>
          <w:szCs w:val="24"/>
        </w:rPr>
        <w:t xml:space="preserve"> etico-politico, combinato con una apologetica riscoperta del primitivismo di radice lucreziana” </w:t>
      </w:r>
      <w:r w:rsidRPr="00CB7F51">
        <w:rPr>
          <w:rFonts w:ascii="Verdana" w:eastAsia="Times New Roman" w:hAnsi="Verdana" w:cs="Times New Roman"/>
          <w:color w:val="000000"/>
          <w:sz w:val="24"/>
          <w:szCs w:val="24"/>
          <w:vertAlign w:val="superscript"/>
        </w:rPr>
        <w:footnoteReference w:id="5"/>
      </w:r>
      <w:r w:rsidRPr="00CB7F51">
        <w:rPr>
          <w:rFonts w:ascii="Verdana" w:eastAsia="Times New Roman" w:hAnsi="Verdana" w:cs="Times New Roman"/>
          <w:color w:val="000000"/>
          <w:sz w:val="24"/>
          <w:szCs w:val="24"/>
        </w:rPr>
        <w:t xml:space="preserve">. </w:t>
      </w:r>
      <w:r w:rsidRPr="00CB7F51">
        <w:rPr>
          <w:rFonts w:ascii="Verdana" w:eastAsia="Times New Roman" w:hAnsi="Verdana" w:cs="Times New Roman"/>
          <w:sz w:val="24"/>
          <w:szCs w:val="24"/>
        </w:rPr>
        <w:t xml:space="preserve">Il naturalismo </w:t>
      </w:r>
      <w:proofErr w:type="spellStart"/>
      <w:r w:rsidRPr="00CB7F51">
        <w:rPr>
          <w:rFonts w:ascii="Verdana" w:eastAsia="Times New Roman" w:hAnsi="Verdana" w:cs="Times New Roman"/>
          <w:sz w:val="24"/>
          <w:szCs w:val="24"/>
        </w:rPr>
        <w:t>protoscientifico</w:t>
      </w:r>
      <w:proofErr w:type="spellEnd"/>
      <w:r w:rsidRPr="00CB7F51">
        <w:rPr>
          <w:rFonts w:ascii="Verdana" w:eastAsia="Times New Roman" w:hAnsi="Verdana" w:cs="Times New Roman"/>
          <w:sz w:val="24"/>
          <w:szCs w:val="24"/>
        </w:rPr>
        <w:t xml:space="preserve"> della prima modernità non a caso era fortemente legato anche agli esempi archimedei e vitruviani, gli stessi che saranno il canone per Leonardo, e che possono giustificare le componenti antinomiche o ossimoriche del contributo leonardesco, permettendoci di avere una lettura in chiaroscuro, che riesca a tener conto soprattutto degli aspetti </w:t>
      </w:r>
      <w:r w:rsidRPr="00CB7F51">
        <w:rPr>
          <w:rFonts w:ascii="Verdana" w:eastAsia="Times New Roman" w:hAnsi="Verdana" w:cs="Times New Roman"/>
          <w:i/>
          <w:sz w:val="24"/>
          <w:szCs w:val="24"/>
        </w:rPr>
        <w:t>irriducibili all’umanesimo filosofico e razionalistico</w:t>
      </w:r>
      <w:r w:rsidRPr="00CB7F51">
        <w:rPr>
          <w:rFonts w:ascii="Verdana" w:eastAsia="Times New Roman" w:hAnsi="Verdana" w:cs="Times New Roman"/>
          <w:sz w:val="24"/>
          <w:szCs w:val="24"/>
        </w:rPr>
        <w:t>. Il modello di vita e pensiero rappresentato da Leonardo ha come punto focale una ‘</w:t>
      </w:r>
      <w:proofErr w:type="spellStart"/>
      <w:r w:rsidRPr="00CB7F51">
        <w:rPr>
          <w:rFonts w:ascii="Verdana" w:eastAsia="Times New Roman" w:hAnsi="Verdana" w:cs="Times New Roman"/>
          <w:sz w:val="24"/>
          <w:szCs w:val="24"/>
        </w:rPr>
        <w:t>eccelenzia</w:t>
      </w:r>
      <w:proofErr w:type="spellEnd"/>
      <w:r w:rsidRPr="00CB7F51">
        <w:rPr>
          <w:rFonts w:ascii="Verdana" w:eastAsia="Times New Roman" w:hAnsi="Verdana" w:cs="Times New Roman"/>
          <w:sz w:val="24"/>
          <w:szCs w:val="24"/>
        </w:rPr>
        <w:t xml:space="preserve"> intellettuale’ che si nutriva, di una curiosità, di un interesse, di una passione insaziabili per la natura, per le strutture e gli elementi semplici di essa; l’essere umano, l’omo</w:t>
      </w:r>
      <w:r w:rsidR="00C62044">
        <w:rPr>
          <w:rFonts w:ascii="Verdana" w:eastAsia="Times New Roman" w:hAnsi="Verdana" w:cs="Times New Roman"/>
          <w:sz w:val="24"/>
          <w:szCs w:val="24"/>
        </w:rPr>
        <w:t xml:space="preserve"> , </w:t>
      </w:r>
      <w:r w:rsidRPr="00CB7F51">
        <w:rPr>
          <w:rFonts w:ascii="Verdana" w:eastAsia="Times New Roman" w:hAnsi="Verdana" w:cs="Times New Roman"/>
          <w:sz w:val="24"/>
          <w:szCs w:val="24"/>
        </w:rPr>
        <w:t xml:space="preserve">“ sì bello strumento” con “tanta varietà di macchinamenti” era sigillo, e fondamentale via di accesso, in qualità di microcosmo. e “modello dello mondo”, alla natura, senza stabilire una gerarchia antropocentrica, al contrario, accentuando le affinità, le contiguità, le corrispondenze. Il corpo umano “par (nel senso che si manifesta come) un’analogia del mondo intero”. Le basi del naturalismo scientifico premoderno si fondano su </w:t>
      </w:r>
      <w:r w:rsidRPr="00CB7F51">
        <w:rPr>
          <w:rFonts w:ascii="Verdana" w:eastAsia="Times New Roman" w:hAnsi="Verdana" w:cs="Times New Roman"/>
          <w:i/>
          <w:sz w:val="24"/>
          <w:szCs w:val="24"/>
        </w:rPr>
        <w:t>metafore</w:t>
      </w:r>
      <w:r w:rsidRPr="00CB7F51">
        <w:rPr>
          <w:rFonts w:ascii="Verdana" w:eastAsia="Times New Roman" w:hAnsi="Verdana" w:cs="Times New Roman"/>
          <w:sz w:val="24"/>
          <w:szCs w:val="24"/>
        </w:rPr>
        <w:t xml:space="preserve"> e </w:t>
      </w:r>
      <w:r w:rsidRPr="00CB7F51">
        <w:rPr>
          <w:rFonts w:ascii="Verdana" w:eastAsia="Times New Roman" w:hAnsi="Verdana" w:cs="Times New Roman"/>
          <w:i/>
          <w:sz w:val="24"/>
          <w:szCs w:val="24"/>
        </w:rPr>
        <w:t>immagini</w:t>
      </w:r>
      <w:r w:rsidRPr="00CB7F51">
        <w:rPr>
          <w:rFonts w:ascii="Verdana" w:eastAsia="Times New Roman" w:hAnsi="Verdana" w:cs="Times New Roman"/>
          <w:sz w:val="24"/>
          <w:szCs w:val="24"/>
        </w:rPr>
        <w:t xml:space="preserve"> molto precedenti, ellenistiche e aristoteliche, o addirittura anteriori, non aliene da aspetti irriducibili al platonismo e al cristianesimo.</w:t>
      </w:r>
    </w:p>
    <w:p w14:paraId="0000000D" w14:textId="77777777" w:rsidR="00922161" w:rsidRPr="00CB7F51" w:rsidRDefault="00282F4C" w:rsidP="00CB7F51">
      <w:pPr>
        <w:spacing w:line="360" w:lineRule="auto"/>
        <w:ind w:firstLine="708"/>
        <w:jc w:val="both"/>
        <w:rPr>
          <w:rFonts w:ascii="Verdana" w:eastAsia="Times New Roman" w:hAnsi="Verdana" w:cs="Times New Roman"/>
          <w:sz w:val="24"/>
          <w:szCs w:val="24"/>
        </w:rPr>
      </w:pPr>
      <w:r w:rsidRPr="00CB7F51">
        <w:rPr>
          <w:rFonts w:ascii="Verdana" w:eastAsia="Times New Roman" w:hAnsi="Verdana" w:cs="Times New Roman"/>
          <w:sz w:val="24"/>
          <w:szCs w:val="24"/>
        </w:rPr>
        <w:t xml:space="preserve">Siffatto processo di inesauribile apprendimento (sensibile e intellettuale insieme), non immuni da ascendenze aristoteliche né da scarti, errori e </w:t>
      </w:r>
      <w:r w:rsidRPr="00CB7F51">
        <w:rPr>
          <w:rFonts w:ascii="Verdana" w:eastAsia="Times New Roman" w:hAnsi="Verdana" w:cs="Times New Roman"/>
          <w:sz w:val="24"/>
          <w:szCs w:val="24"/>
        </w:rPr>
        <w:lastRenderedPageBreak/>
        <w:t xml:space="preserve">rettifiche sperimentali, Leonardo lo perseguiva, oltreché imparando dagli artisti, architetti, matematici, suoi contemporanei, sedendosi metaforicamente sulle spalle degli antichi - </w:t>
      </w:r>
      <w:r w:rsidRPr="00CB7F51">
        <w:rPr>
          <w:rFonts w:ascii="Verdana" w:eastAsia="Times New Roman" w:hAnsi="Verdana" w:cs="Times New Roman"/>
          <w:i/>
          <w:sz w:val="24"/>
          <w:szCs w:val="24"/>
        </w:rPr>
        <w:t>in primis</w:t>
      </w:r>
      <w:r w:rsidRPr="00CB7F51">
        <w:rPr>
          <w:rFonts w:ascii="Verdana" w:eastAsia="Times New Roman" w:hAnsi="Verdana" w:cs="Times New Roman"/>
          <w:sz w:val="24"/>
          <w:szCs w:val="24"/>
        </w:rPr>
        <w:t xml:space="preserve"> Archimede, ma anche Tolomeo, Vitruvio, un certo Aristotele empirista, oltre che filosofo pratico, quello per cui l’immaginazione è un movimento prodotto dalla sensazione in atto e del pari - diremmo noi, ricorsivamente - è l’occhio della mente in quanto per Leonardo ”l’idea, over </w:t>
      </w:r>
      <w:proofErr w:type="spellStart"/>
      <w:r w:rsidRPr="00CB7F51">
        <w:rPr>
          <w:rFonts w:ascii="Verdana" w:eastAsia="Times New Roman" w:hAnsi="Verdana" w:cs="Times New Roman"/>
          <w:sz w:val="24"/>
          <w:szCs w:val="24"/>
        </w:rPr>
        <w:t>imaginativa</w:t>
      </w:r>
      <w:proofErr w:type="spellEnd"/>
      <w:r w:rsidRPr="00CB7F51">
        <w:rPr>
          <w:rFonts w:ascii="Verdana" w:eastAsia="Times New Roman" w:hAnsi="Verdana" w:cs="Times New Roman"/>
          <w:sz w:val="24"/>
          <w:szCs w:val="24"/>
        </w:rPr>
        <w:t xml:space="preserve">, è e timone e briglia de’ sensi, in però che la cosa immaginata </w:t>
      </w:r>
      <w:proofErr w:type="spellStart"/>
      <w:r w:rsidRPr="00CB7F51">
        <w:rPr>
          <w:rFonts w:ascii="Verdana" w:eastAsia="Times New Roman" w:hAnsi="Verdana" w:cs="Times New Roman"/>
          <w:sz w:val="24"/>
          <w:szCs w:val="24"/>
        </w:rPr>
        <w:t>move</w:t>
      </w:r>
      <w:proofErr w:type="spellEnd"/>
      <w:r w:rsidRPr="00CB7F51">
        <w:rPr>
          <w:rFonts w:ascii="Verdana" w:eastAsia="Times New Roman" w:hAnsi="Verdana" w:cs="Times New Roman"/>
          <w:sz w:val="24"/>
          <w:szCs w:val="24"/>
        </w:rPr>
        <w:t xml:space="preserve"> il senso”. La ‘macchina dell’immaginazione’</w:t>
      </w:r>
      <w:r w:rsidRPr="00CB7F51">
        <w:rPr>
          <w:rFonts w:ascii="Verdana" w:eastAsia="Times New Roman" w:hAnsi="Verdana" w:cs="Times New Roman"/>
          <w:sz w:val="24"/>
          <w:szCs w:val="24"/>
          <w:vertAlign w:val="superscript"/>
        </w:rPr>
        <w:footnoteReference w:id="6"/>
      </w:r>
      <w:r w:rsidRPr="00CB7F51">
        <w:rPr>
          <w:rFonts w:ascii="Verdana" w:eastAsia="Times New Roman" w:hAnsi="Verdana" w:cs="Times New Roman"/>
          <w:sz w:val="24"/>
          <w:szCs w:val="24"/>
        </w:rPr>
        <w:t>, si muove sempre sui due piani, dei sensi e della proiezione mentale di essi. Si va oltre il dualismo fra principio deduttivo e principio induttivo nella scienza, visto che “le cose mentali che non son passate per il senso son vane” (</w:t>
      </w:r>
      <w:proofErr w:type="spellStart"/>
      <w:r w:rsidRPr="00CB7F51">
        <w:rPr>
          <w:rFonts w:ascii="Verdana" w:eastAsia="Times New Roman" w:hAnsi="Verdana" w:cs="Times New Roman"/>
          <w:sz w:val="24"/>
          <w:szCs w:val="24"/>
        </w:rPr>
        <w:t>Quad</w:t>
      </w:r>
      <w:proofErr w:type="spellEnd"/>
      <w:r w:rsidRPr="00CB7F51">
        <w:rPr>
          <w:rFonts w:ascii="Verdana" w:eastAsia="Times New Roman" w:hAnsi="Verdana" w:cs="Times New Roman"/>
          <w:sz w:val="24"/>
          <w:szCs w:val="24"/>
        </w:rPr>
        <w:t xml:space="preserve">. An, </w:t>
      </w:r>
      <w:proofErr w:type="spellStart"/>
      <w:r w:rsidRPr="00CB7F51">
        <w:rPr>
          <w:rFonts w:ascii="Verdana" w:eastAsia="Times New Roman" w:hAnsi="Verdana" w:cs="Times New Roman"/>
          <w:sz w:val="24"/>
          <w:szCs w:val="24"/>
        </w:rPr>
        <w:t>Crist</w:t>
      </w:r>
      <w:proofErr w:type="spellEnd"/>
      <w:r w:rsidRPr="00CB7F51">
        <w:rPr>
          <w:rFonts w:ascii="Verdana" w:eastAsia="Times New Roman" w:hAnsi="Verdana" w:cs="Times New Roman"/>
          <w:sz w:val="24"/>
          <w:szCs w:val="24"/>
        </w:rPr>
        <w:t xml:space="preserve">., I, 13 r), ma anche “nessuna umana investigazione si </w:t>
      </w:r>
      <w:proofErr w:type="spellStart"/>
      <w:r w:rsidRPr="00CB7F51">
        <w:rPr>
          <w:rFonts w:ascii="Verdana" w:eastAsia="Times New Roman" w:hAnsi="Verdana" w:cs="Times New Roman"/>
          <w:sz w:val="24"/>
          <w:szCs w:val="24"/>
        </w:rPr>
        <w:t>pò</w:t>
      </w:r>
      <w:proofErr w:type="spellEnd"/>
      <w:r w:rsidRPr="00CB7F51">
        <w:rPr>
          <w:rFonts w:ascii="Verdana" w:eastAsia="Times New Roman" w:hAnsi="Verdana" w:cs="Times New Roman"/>
          <w:sz w:val="24"/>
          <w:szCs w:val="24"/>
        </w:rPr>
        <w:t xml:space="preserve"> </w:t>
      </w:r>
      <w:proofErr w:type="spellStart"/>
      <w:r w:rsidRPr="00CB7F51">
        <w:rPr>
          <w:rFonts w:ascii="Verdana" w:eastAsia="Times New Roman" w:hAnsi="Verdana" w:cs="Times New Roman"/>
          <w:sz w:val="24"/>
          <w:szCs w:val="24"/>
        </w:rPr>
        <w:t>dimandare</w:t>
      </w:r>
      <w:proofErr w:type="spellEnd"/>
      <w:r w:rsidRPr="00CB7F51">
        <w:rPr>
          <w:rFonts w:ascii="Verdana" w:eastAsia="Times New Roman" w:hAnsi="Verdana" w:cs="Times New Roman"/>
          <w:sz w:val="24"/>
          <w:szCs w:val="24"/>
        </w:rPr>
        <w:t xml:space="preserve"> vera </w:t>
      </w:r>
      <w:proofErr w:type="spellStart"/>
      <w:r w:rsidRPr="00CB7F51">
        <w:rPr>
          <w:rFonts w:ascii="Verdana" w:eastAsia="Times New Roman" w:hAnsi="Verdana" w:cs="Times New Roman"/>
          <w:sz w:val="24"/>
          <w:szCs w:val="24"/>
        </w:rPr>
        <w:t>scientia</w:t>
      </w:r>
      <w:proofErr w:type="spellEnd"/>
      <w:r w:rsidRPr="00CB7F51">
        <w:rPr>
          <w:rFonts w:ascii="Verdana" w:eastAsia="Times New Roman" w:hAnsi="Verdana" w:cs="Times New Roman"/>
          <w:sz w:val="24"/>
          <w:szCs w:val="24"/>
        </w:rPr>
        <w:t xml:space="preserve">, s’essa non passa per le matematiche dimostrazioni, e se tu dirai che le </w:t>
      </w:r>
      <w:proofErr w:type="spellStart"/>
      <w:r w:rsidRPr="00CB7F51">
        <w:rPr>
          <w:rFonts w:ascii="Verdana" w:eastAsia="Times New Roman" w:hAnsi="Verdana" w:cs="Times New Roman"/>
          <w:sz w:val="24"/>
          <w:szCs w:val="24"/>
        </w:rPr>
        <w:t>scienzie</w:t>
      </w:r>
      <w:proofErr w:type="spellEnd"/>
      <w:r w:rsidRPr="00CB7F51">
        <w:rPr>
          <w:rFonts w:ascii="Verdana" w:eastAsia="Times New Roman" w:hAnsi="Verdana" w:cs="Times New Roman"/>
          <w:sz w:val="24"/>
          <w:szCs w:val="24"/>
        </w:rPr>
        <w:t xml:space="preserve">, che principiano e finiscono nella mente, abbiano verità, questo non si concede ma si </w:t>
      </w:r>
      <w:proofErr w:type="spellStart"/>
      <w:r w:rsidRPr="00CB7F51">
        <w:rPr>
          <w:rFonts w:ascii="Verdana" w:eastAsia="Times New Roman" w:hAnsi="Verdana" w:cs="Times New Roman"/>
          <w:sz w:val="24"/>
          <w:szCs w:val="24"/>
        </w:rPr>
        <w:t>niega</w:t>
      </w:r>
      <w:proofErr w:type="spellEnd"/>
      <w:r w:rsidRPr="00CB7F51">
        <w:rPr>
          <w:rFonts w:ascii="Verdana" w:eastAsia="Times New Roman" w:hAnsi="Verdana" w:cs="Times New Roman"/>
          <w:sz w:val="24"/>
          <w:szCs w:val="24"/>
        </w:rPr>
        <w:t xml:space="preserve">, per molte ragioni, e prima, che in tali discorso mentali non accade </w:t>
      </w:r>
      <w:proofErr w:type="spellStart"/>
      <w:r w:rsidRPr="00CB7F51">
        <w:rPr>
          <w:rFonts w:ascii="Verdana" w:eastAsia="Times New Roman" w:hAnsi="Verdana" w:cs="Times New Roman"/>
          <w:sz w:val="24"/>
          <w:szCs w:val="24"/>
        </w:rPr>
        <w:t>esperienzia</w:t>
      </w:r>
      <w:proofErr w:type="spellEnd"/>
      <w:r w:rsidRPr="00CB7F51">
        <w:rPr>
          <w:rFonts w:ascii="Verdana" w:eastAsia="Times New Roman" w:hAnsi="Verdana" w:cs="Times New Roman"/>
          <w:sz w:val="24"/>
          <w:szCs w:val="24"/>
        </w:rPr>
        <w:t xml:space="preserve">, senza la quale nulla dà di sé certezza”. </w:t>
      </w:r>
    </w:p>
    <w:p w14:paraId="0000000E" w14:textId="01ABE8D5" w:rsidR="00922161" w:rsidRPr="00CB7F51" w:rsidRDefault="00282F4C" w:rsidP="00CB7F51">
      <w:pPr>
        <w:spacing w:line="360" w:lineRule="auto"/>
        <w:jc w:val="both"/>
        <w:rPr>
          <w:rFonts w:ascii="Verdana" w:eastAsia="Times New Roman" w:hAnsi="Verdana" w:cs="Times New Roman"/>
          <w:sz w:val="24"/>
          <w:szCs w:val="24"/>
        </w:rPr>
      </w:pPr>
      <w:r w:rsidRPr="00CB7F51">
        <w:rPr>
          <w:rFonts w:ascii="Verdana" w:eastAsia="Times New Roman" w:hAnsi="Verdana" w:cs="Times New Roman"/>
          <w:sz w:val="24"/>
          <w:szCs w:val="24"/>
        </w:rPr>
        <w:t xml:space="preserve"> </w:t>
      </w:r>
      <w:r w:rsidRPr="00CB7F51">
        <w:rPr>
          <w:rFonts w:ascii="Verdana" w:eastAsia="Times New Roman" w:hAnsi="Verdana" w:cs="Times New Roman"/>
          <w:sz w:val="24"/>
          <w:szCs w:val="24"/>
        </w:rPr>
        <w:tab/>
        <w:t>Dicono quella cognizione esser meccanica la quale è partorita dall’</w:t>
      </w:r>
      <w:proofErr w:type="spellStart"/>
      <w:r w:rsidRPr="00CB7F51">
        <w:rPr>
          <w:rFonts w:ascii="Verdana" w:eastAsia="Times New Roman" w:hAnsi="Verdana" w:cs="Times New Roman"/>
          <w:sz w:val="24"/>
          <w:szCs w:val="24"/>
        </w:rPr>
        <w:t>esperienzia</w:t>
      </w:r>
      <w:proofErr w:type="spellEnd"/>
      <w:r w:rsidRPr="00CB7F51">
        <w:rPr>
          <w:rFonts w:ascii="Verdana" w:eastAsia="Times New Roman" w:hAnsi="Verdana" w:cs="Times New Roman"/>
          <w:sz w:val="24"/>
          <w:szCs w:val="24"/>
        </w:rPr>
        <w:t xml:space="preserve">, e quella esser scientifica che nasce e finisce nella mente, e quella essere </w:t>
      </w:r>
      <w:proofErr w:type="spellStart"/>
      <w:r w:rsidRPr="00CB7F51">
        <w:rPr>
          <w:rFonts w:ascii="Verdana" w:eastAsia="Times New Roman" w:hAnsi="Verdana" w:cs="Times New Roman"/>
          <w:sz w:val="24"/>
          <w:szCs w:val="24"/>
        </w:rPr>
        <w:t>semimeccanica</w:t>
      </w:r>
      <w:proofErr w:type="spellEnd"/>
      <w:r w:rsidRPr="00CB7F51">
        <w:rPr>
          <w:rFonts w:ascii="Verdana" w:eastAsia="Times New Roman" w:hAnsi="Verdana" w:cs="Times New Roman"/>
          <w:sz w:val="24"/>
          <w:szCs w:val="24"/>
        </w:rPr>
        <w:t xml:space="preserve"> che nasce dalla </w:t>
      </w:r>
      <w:proofErr w:type="spellStart"/>
      <w:r w:rsidRPr="00CB7F51">
        <w:rPr>
          <w:rFonts w:ascii="Verdana" w:eastAsia="Times New Roman" w:hAnsi="Verdana" w:cs="Times New Roman"/>
          <w:sz w:val="24"/>
          <w:szCs w:val="24"/>
        </w:rPr>
        <w:t>scienzia</w:t>
      </w:r>
      <w:proofErr w:type="spellEnd"/>
      <w:r w:rsidRPr="00CB7F51">
        <w:rPr>
          <w:rFonts w:ascii="Verdana" w:eastAsia="Times New Roman" w:hAnsi="Verdana" w:cs="Times New Roman"/>
          <w:sz w:val="24"/>
          <w:szCs w:val="24"/>
        </w:rPr>
        <w:t xml:space="preserve"> e finisce nella operazione manuale. Ma a me pare che quelle </w:t>
      </w:r>
      <w:proofErr w:type="spellStart"/>
      <w:r w:rsidRPr="00CB7F51">
        <w:rPr>
          <w:rFonts w:ascii="Verdana" w:eastAsia="Times New Roman" w:hAnsi="Verdana" w:cs="Times New Roman"/>
          <w:sz w:val="24"/>
          <w:szCs w:val="24"/>
        </w:rPr>
        <w:t>scienzie</w:t>
      </w:r>
      <w:proofErr w:type="spellEnd"/>
      <w:r w:rsidRPr="00CB7F51">
        <w:rPr>
          <w:rFonts w:ascii="Verdana" w:eastAsia="Times New Roman" w:hAnsi="Verdana" w:cs="Times New Roman"/>
          <w:sz w:val="24"/>
          <w:szCs w:val="24"/>
        </w:rPr>
        <w:t xml:space="preserve"> </w:t>
      </w:r>
      <w:proofErr w:type="spellStart"/>
      <w:r w:rsidRPr="00CB7F51">
        <w:rPr>
          <w:rFonts w:ascii="Verdana" w:eastAsia="Times New Roman" w:hAnsi="Verdana" w:cs="Times New Roman"/>
          <w:sz w:val="24"/>
          <w:szCs w:val="24"/>
        </w:rPr>
        <w:t>sieno</w:t>
      </w:r>
      <w:proofErr w:type="spellEnd"/>
      <w:r w:rsidRPr="00CB7F51">
        <w:rPr>
          <w:rFonts w:ascii="Verdana" w:eastAsia="Times New Roman" w:hAnsi="Verdana" w:cs="Times New Roman"/>
          <w:sz w:val="24"/>
          <w:szCs w:val="24"/>
        </w:rPr>
        <w:t xml:space="preserve"> vane piene d’errori, le quali non sono nate dall’</w:t>
      </w:r>
      <w:proofErr w:type="spellStart"/>
      <w:r w:rsidRPr="00CB7F51">
        <w:rPr>
          <w:rFonts w:ascii="Verdana" w:eastAsia="Times New Roman" w:hAnsi="Verdana" w:cs="Times New Roman"/>
          <w:sz w:val="24"/>
          <w:szCs w:val="24"/>
        </w:rPr>
        <w:t>esperienzia</w:t>
      </w:r>
      <w:proofErr w:type="spellEnd"/>
      <w:r w:rsidRPr="00CB7F51">
        <w:rPr>
          <w:rFonts w:ascii="Verdana" w:eastAsia="Times New Roman" w:hAnsi="Verdana" w:cs="Times New Roman"/>
          <w:sz w:val="24"/>
          <w:szCs w:val="24"/>
        </w:rPr>
        <w:t xml:space="preserve">, madre di ogni certezza, e che non terminano in nota </w:t>
      </w:r>
      <w:proofErr w:type="spellStart"/>
      <w:r w:rsidRPr="00CB7F51">
        <w:rPr>
          <w:rFonts w:ascii="Verdana" w:eastAsia="Times New Roman" w:hAnsi="Verdana" w:cs="Times New Roman"/>
          <w:sz w:val="24"/>
          <w:szCs w:val="24"/>
        </w:rPr>
        <w:t>esperienzia</w:t>
      </w:r>
      <w:proofErr w:type="spellEnd"/>
      <w:r w:rsidRPr="00CB7F51">
        <w:rPr>
          <w:rFonts w:ascii="Verdana" w:eastAsia="Times New Roman" w:hAnsi="Verdana" w:cs="Times New Roman"/>
          <w:sz w:val="24"/>
          <w:szCs w:val="24"/>
        </w:rPr>
        <w:t>, cioè che la loro origine, o mezzo, o fine, non passa per nessuno dei cinque sensi.</w:t>
      </w:r>
      <w:r w:rsidR="00C62044">
        <w:rPr>
          <w:rFonts w:ascii="Verdana" w:eastAsia="Times New Roman" w:hAnsi="Verdana" w:cs="Times New Roman"/>
          <w:sz w:val="24"/>
          <w:szCs w:val="24"/>
        </w:rPr>
        <w:t xml:space="preserve"> </w:t>
      </w:r>
      <w:r w:rsidRPr="00CB7F51">
        <w:rPr>
          <w:rFonts w:ascii="Verdana" w:eastAsia="Times New Roman" w:hAnsi="Verdana" w:cs="Times New Roman"/>
          <w:sz w:val="24"/>
          <w:szCs w:val="24"/>
        </w:rPr>
        <w:t xml:space="preserve">[…..]. Le vere </w:t>
      </w:r>
      <w:proofErr w:type="spellStart"/>
      <w:r w:rsidRPr="00CB7F51">
        <w:rPr>
          <w:rFonts w:ascii="Verdana" w:eastAsia="Times New Roman" w:hAnsi="Verdana" w:cs="Times New Roman"/>
          <w:sz w:val="24"/>
          <w:szCs w:val="24"/>
        </w:rPr>
        <w:t>scienzie</w:t>
      </w:r>
      <w:proofErr w:type="spellEnd"/>
      <w:r w:rsidRPr="00CB7F51">
        <w:rPr>
          <w:rFonts w:ascii="Verdana" w:eastAsia="Times New Roman" w:hAnsi="Verdana" w:cs="Times New Roman"/>
          <w:sz w:val="24"/>
          <w:szCs w:val="24"/>
        </w:rPr>
        <w:t xml:space="preserve"> sono quella che la </w:t>
      </w:r>
      <w:proofErr w:type="spellStart"/>
      <w:r w:rsidRPr="00CB7F51">
        <w:rPr>
          <w:rFonts w:ascii="Verdana" w:eastAsia="Times New Roman" w:hAnsi="Verdana" w:cs="Times New Roman"/>
          <w:sz w:val="24"/>
          <w:szCs w:val="24"/>
        </w:rPr>
        <w:t>sperienzia</w:t>
      </w:r>
      <w:proofErr w:type="spellEnd"/>
      <w:r w:rsidRPr="00CB7F51">
        <w:rPr>
          <w:rFonts w:ascii="Verdana" w:eastAsia="Times New Roman" w:hAnsi="Verdana" w:cs="Times New Roman"/>
          <w:sz w:val="24"/>
          <w:szCs w:val="24"/>
        </w:rPr>
        <w:t xml:space="preserve"> ha fatto penetrare per li sensi, […] sempre sopra li primi veri e noti princìpi, procede successivamente e con vere </w:t>
      </w:r>
      <w:proofErr w:type="spellStart"/>
      <w:r w:rsidRPr="00CB7F51">
        <w:rPr>
          <w:rFonts w:ascii="Verdana" w:eastAsia="Times New Roman" w:hAnsi="Verdana" w:cs="Times New Roman"/>
          <w:sz w:val="24"/>
          <w:szCs w:val="24"/>
        </w:rPr>
        <w:t>sequenzie</w:t>
      </w:r>
      <w:proofErr w:type="spellEnd"/>
      <w:r w:rsidRPr="00CB7F51">
        <w:rPr>
          <w:rFonts w:ascii="Verdana" w:eastAsia="Times New Roman" w:hAnsi="Verdana" w:cs="Times New Roman"/>
          <w:sz w:val="24"/>
          <w:szCs w:val="24"/>
        </w:rPr>
        <w:t xml:space="preserve"> insino al fine, come si </w:t>
      </w:r>
      <w:proofErr w:type="spellStart"/>
      <w:r w:rsidRPr="00CB7F51">
        <w:rPr>
          <w:rFonts w:ascii="Verdana" w:eastAsia="Times New Roman" w:hAnsi="Verdana" w:cs="Times New Roman"/>
          <w:sz w:val="24"/>
          <w:szCs w:val="24"/>
        </w:rPr>
        <w:t>dinota</w:t>
      </w:r>
      <w:proofErr w:type="spellEnd"/>
      <w:r w:rsidRPr="00CB7F51">
        <w:rPr>
          <w:rFonts w:ascii="Verdana" w:eastAsia="Times New Roman" w:hAnsi="Verdana" w:cs="Times New Roman"/>
          <w:sz w:val="24"/>
          <w:szCs w:val="24"/>
        </w:rPr>
        <w:t xml:space="preserve"> nelle prima matematiche, cioè numero e misura, detta aritmetica e geometria, che trattano con somma verità della quantità discontinua e continua […]. E se tu dirai tali </w:t>
      </w:r>
      <w:proofErr w:type="spellStart"/>
      <w:r w:rsidRPr="00CB7F51">
        <w:rPr>
          <w:rFonts w:ascii="Verdana" w:eastAsia="Times New Roman" w:hAnsi="Verdana" w:cs="Times New Roman"/>
          <w:sz w:val="24"/>
          <w:szCs w:val="24"/>
        </w:rPr>
        <w:t>scientie</w:t>
      </w:r>
      <w:proofErr w:type="spellEnd"/>
      <w:r w:rsidRPr="00CB7F51">
        <w:rPr>
          <w:rFonts w:ascii="Verdana" w:eastAsia="Times New Roman" w:hAnsi="Verdana" w:cs="Times New Roman"/>
          <w:sz w:val="24"/>
          <w:szCs w:val="24"/>
        </w:rPr>
        <w:t xml:space="preserve"> vere e note essere di spezie di meccaniche, </w:t>
      </w:r>
      <w:proofErr w:type="spellStart"/>
      <w:r w:rsidRPr="00CB7F51">
        <w:rPr>
          <w:rFonts w:ascii="Verdana" w:eastAsia="Times New Roman" w:hAnsi="Verdana" w:cs="Times New Roman"/>
          <w:sz w:val="24"/>
          <w:szCs w:val="24"/>
        </w:rPr>
        <w:t>imperochè</w:t>
      </w:r>
      <w:proofErr w:type="spellEnd"/>
      <w:r w:rsidRPr="00CB7F51">
        <w:rPr>
          <w:rFonts w:ascii="Verdana" w:eastAsia="Times New Roman" w:hAnsi="Verdana" w:cs="Times New Roman"/>
          <w:sz w:val="24"/>
          <w:szCs w:val="24"/>
        </w:rPr>
        <w:t xml:space="preserve"> non si possono finire se non manualmente, io dirò il medesimo di tutte le arti che passano per le mani degli scrittore, le quali sono di spezie di disegno, […], ma </w:t>
      </w:r>
      <w:r w:rsidRPr="00CB7F51">
        <w:rPr>
          <w:rFonts w:ascii="Verdana" w:eastAsia="Times New Roman" w:hAnsi="Verdana" w:cs="Times New Roman"/>
          <w:sz w:val="24"/>
          <w:szCs w:val="24"/>
        </w:rPr>
        <w:lastRenderedPageBreak/>
        <w:t xml:space="preserve">prima sono mentali, com’è la pittura, la quale è prima nella mente del suo speculatore e non può pervenire alla sua perfezione senza la manuale operazione” </w:t>
      </w:r>
      <w:r w:rsidRPr="00CB7F51">
        <w:rPr>
          <w:rFonts w:ascii="Verdana" w:eastAsia="Times New Roman" w:hAnsi="Verdana" w:cs="Times New Roman"/>
          <w:sz w:val="24"/>
          <w:szCs w:val="24"/>
          <w:vertAlign w:val="superscript"/>
        </w:rPr>
        <w:footnoteReference w:id="7"/>
      </w:r>
      <w:r w:rsidRPr="00CB7F51">
        <w:rPr>
          <w:rFonts w:ascii="Verdana" w:eastAsia="Times New Roman" w:hAnsi="Verdana" w:cs="Times New Roman"/>
          <w:sz w:val="24"/>
          <w:szCs w:val="24"/>
        </w:rPr>
        <w:t xml:space="preserve">. </w:t>
      </w:r>
    </w:p>
    <w:p w14:paraId="0000000F" w14:textId="77777777" w:rsidR="00922161" w:rsidRPr="00CB7F51" w:rsidRDefault="00282F4C" w:rsidP="00CB7F51">
      <w:pPr>
        <w:spacing w:line="360" w:lineRule="auto"/>
        <w:jc w:val="both"/>
        <w:rPr>
          <w:rFonts w:ascii="Verdana" w:eastAsia="Times New Roman" w:hAnsi="Verdana" w:cs="Times New Roman"/>
          <w:sz w:val="24"/>
          <w:szCs w:val="24"/>
        </w:rPr>
      </w:pPr>
      <w:r w:rsidRPr="00CB7F51">
        <w:rPr>
          <w:rFonts w:ascii="Verdana" w:eastAsia="Times New Roman" w:hAnsi="Verdana" w:cs="Times New Roman"/>
          <w:sz w:val="24"/>
          <w:szCs w:val="24"/>
        </w:rPr>
        <w:t>Non è un mistero che Leonardo usasse talvolta la forma ‘</w:t>
      </w:r>
      <w:proofErr w:type="spellStart"/>
      <w:r w:rsidRPr="00CB7F51">
        <w:rPr>
          <w:rFonts w:ascii="Verdana" w:eastAsia="Times New Roman" w:hAnsi="Verdana" w:cs="Times New Roman"/>
          <w:sz w:val="24"/>
          <w:szCs w:val="24"/>
        </w:rPr>
        <w:t>scientia</w:t>
      </w:r>
      <w:proofErr w:type="spellEnd"/>
      <w:r w:rsidRPr="00CB7F51">
        <w:rPr>
          <w:rFonts w:ascii="Verdana" w:eastAsia="Times New Roman" w:hAnsi="Verdana" w:cs="Times New Roman"/>
          <w:sz w:val="24"/>
          <w:szCs w:val="24"/>
        </w:rPr>
        <w:t>’ per indicare la teoria, l’operazione mentale come nei testi della scolastica; del pari, quanto impiega l’espressione “</w:t>
      </w:r>
      <w:proofErr w:type="spellStart"/>
      <w:r w:rsidRPr="00CB7F51">
        <w:rPr>
          <w:rFonts w:ascii="Verdana" w:eastAsia="Times New Roman" w:hAnsi="Verdana" w:cs="Times New Roman"/>
          <w:sz w:val="24"/>
          <w:szCs w:val="24"/>
        </w:rPr>
        <w:t>scienzia</w:t>
      </w:r>
      <w:proofErr w:type="spellEnd"/>
      <w:r w:rsidRPr="00CB7F51">
        <w:rPr>
          <w:rFonts w:ascii="Verdana" w:eastAsia="Times New Roman" w:hAnsi="Verdana" w:cs="Times New Roman"/>
          <w:sz w:val="24"/>
          <w:szCs w:val="24"/>
        </w:rPr>
        <w:t xml:space="preserve"> sensibile” si pone con orgoglio come “discepolo di </w:t>
      </w:r>
      <w:proofErr w:type="spellStart"/>
      <w:r w:rsidRPr="00CB7F51">
        <w:rPr>
          <w:rFonts w:ascii="Verdana" w:eastAsia="Times New Roman" w:hAnsi="Verdana" w:cs="Times New Roman"/>
          <w:sz w:val="24"/>
          <w:szCs w:val="24"/>
        </w:rPr>
        <w:t>sperienza</w:t>
      </w:r>
      <w:proofErr w:type="spellEnd"/>
      <w:r w:rsidRPr="00CB7F51">
        <w:rPr>
          <w:rFonts w:ascii="Verdana" w:eastAsia="Times New Roman" w:hAnsi="Verdana" w:cs="Times New Roman"/>
          <w:sz w:val="24"/>
          <w:szCs w:val="24"/>
        </w:rPr>
        <w:t>” e rivendica il ruolo e il significato veracemente scientifico dell’osservazione empirica tradotta in formule matematiche. L’indissolubile circolarità fra induzione e deduzione era già presente in Leonardo, artista e scienziato ad un tempo.</w:t>
      </w:r>
    </w:p>
    <w:p w14:paraId="00000010" w14:textId="6AEFC42B" w:rsidR="00922161" w:rsidRPr="00CB7F51" w:rsidRDefault="00282F4C" w:rsidP="00CB7F51">
      <w:pPr>
        <w:pStyle w:val="Paragrafoelenco"/>
        <w:numPr>
          <w:ilvl w:val="0"/>
          <w:numId w:val="3"/>
        </w:numPr>
        <w:spacing w:line="360" w:lineRule="auto"/>
        <w:jc w:val="both"/>
        <w:rPr>
          <w:rFonts w:ascii="Verdana" w:eastAsia="Times New Roman" w:hAnsi="Verdana" w:cs="Times New Roman"/>
          <w:b/>
          <w:bCs/>
          <w:iCs/>
          <w:sz w:val="24"/>
          <w:szCs w:val="24"/>
        </w:rPr>
      </w:pPr>
      <w:proofErr w:type="spellStart"/>
      <w:r w:rsidRPr="00CB7F51">
        <w:rPr>
          <w:rFonts w:ascii="Verdana" w:eastAsia="Times New Roman" w:hAnsi="Verdana" w:cs="Times New Roman"/>
          <w:b/>
          <w:bCs/>
          <w:iCs/>
          <w:sz w:val="24"/>
          <w:szCs w:val="24"/>
        </w:rPr>
        <w:t>Scientia</w:t>
      </w:r>
      <w:proofErr w:type="spellEnd"/>
      <w:r w:rsidRPr="00CB7F51">
        <w:rPr>
          <w:rFonts w:ascii="Verdana" w:eastAsia="Times New Roman" w:hAnsi="Verdana" w:cs="Times New Roman"/>
          <w:b/>
          <w:bCs/>
          <w:iCs/>
          <w:sz w:val="24"/>
          <w:szCs w:val="24"/>
        </w:rPr>
        <w:t xml:space="preserve"> </w:t>
      </w:r>
      <w:proofErr w:type="spellStart"/>
      <w:r w:rsidRPr="00CB7F51">
        <w:rPr>
          <w:rFonts w:ascii="Verdana" w:eastAsia="Times New Roman" w:hAnsi="Verdana" w:cs="Times New Roman"/>
          <w:b/>
          <w:bCs/>
          <w:iCs/>
          <w:sz w:val="24"/>
          <w:szCs w:val="24"/>
        </w:rPr>
        <w:t>machinale</w:t>
      </w:r>
      <w:proofErr w:type="spellEnd"/>
      <w:r w:rsidRPr="00CB7F51">
        <w:rPr>
          <w:rFonts w:ascii="Verdana" w:eastAsia="Times New Roman" w:hAnsi="Verdana" w:cs="Times New Roman"/>
          <w:b/>
          <w:bCs/>
          <w:iCs/>
          <w:sz w:val="24"/>
          <w:szCs w:val="24"/>
        </w:rPr>
        <w:t xml:space="preserve">, macchine di pace, macchine di guerra. </w:t>
      </w:r>
    </w:p>
    <w:p w14:paraId="00000011" w14:textId="77777777" w:rsidR="00922161" w:rsidRPr="00CB7F51" w:rsidRDefault="00282F4C" w:rsidP="00CB7F51">
      <w:pPr>
        <w:spacing w:line="360" w:lineRule="auto"/>
        <w:ind w:firstLine="708"/>
        <w:jc w:val="both"/>
        <w:rPr>
          <w:rFonts w:ascii="Verdana" w:eastAsia="Times New Roman" w:hAnsi="Verdana" w:cs="Times New Roman"/>
          <w:sz w:val="24"/>
          <w:szCs w:val="24"/>
        </w:rPr>
      </w:pPr>
      <w:r w:rsidRPr="00CB7F51">
        <w:rPr>
          <w:rFonts w:ascii="Verdana" w:eastAsia="Times New Roman" w:hAnsi="Verdana" w:cs="Times New Roman"/>
          <w:sz w:val="24"/>
          <w:szCs w:val="24"/>
        </w:rPr>
        <w:t>Sempre e coerentemente, per Leonardo “la meccanica (scienza sensibile fondata sui principi veri e noti) è il paradiso delle scienze matematiche perché con quella si viene al frutto matematico” (</w:t>
      </w:r>
      <w:proofErr w:type="spellStart"/>
      <w:r w:rsidRPr="00CB7F51">
        <w:rPr>
          <w:rFonts w:ascii="Verdana" w:eastAsia="Times New Roman" w:hAnsi="Verdana" w:cs="Times New Roman"/>
          <w:sz w:val="24"/>
          <w:szCs w:val="24"/>
        </w:rPr>
        <w:t>Mss</w:t>
      </w:r>
      <w:proofErr w:type="spellEnd"/>
      <w:r w:rsidRPr="00CB7F51">
        <w:rPr>
          <w:rFonts w:ascii="Verdana" w:eastAsia="Times New Roman" w:hAnsi="Verdana" w:cs="Times New Roman"/>
          <w:sz w:val="24"/>
          <w:szCs w:val="24"/>
        </w:rPr>
        <w:t xml:space="preserve"> E, 8r </w:t>
      </w:r>
      <w:r w:rsidRPr="00CB7F51">
        <w:rPr>
          <w:rFonts w:ascii="Verdana" w:eastAsia="Times New Roman" w:hAnsi="Verdana" w:cs="Times New Roman"/>
          <w:sz w:val="24"/>
          <w:szCs w:val="24"/>
          <w:vertAlign w:val="superscript"/>
        </w:rPr>
        <w:footnoteReference w:id="8"/>
      </w:r>
      <w:r w:rsidRPr="00CB7F51">
        <w:rPr>
          <w:rFonts w:ascii="Verdana" w:eastAsia="Times New Roman" w:hAnsi="Verdana" w:cs="Times New Roman"/>
          <w:sz w:val="24"/>
          <w:szCs w:val="24"/>
        </w:rPr>
        <w:t xml:space="preserve">); lo si può affermare senza problemi, anche tenendo da parte la discussione se non sia piuttosto la </w:t>
      </w:r>
      <w:proofErr w:type="spellStart"/>
      <w:r w:rsidRPr="00CB7F51">
        <w:rPr>
          <w:rFonts w:ascii="Verdana" w:eastAsia="Times New Roman" w:hAnsi="Verdana" w:cs="Times New Roman"/>
          <w:i/>
          <w:sz w:val="24"/>
          <w:szCs w:val="24"/>
        </w:rPr>
        <w:t>scientia</w:t>
      </w:r>
      <w:proofErr w:type="spellEnd"/>
      <w:r w:rsidRPr="00CB7F51">
        <w:rPr>
          <w:rFonts w:ascii="Verdana" w:eastAsia="Times New Roman" w:hAnsi="Verdana" w:cs="Times New Roman"/>
          <w:sz w:val="24"/>
          <w:szCs w:val="24"/>
        </w:rPr>
        <w:t xml:space="preserve"> della pittura ad avere la preminenza in tutta l’intrapresa </w:t>
      </w:r>
      <w:r w:rsidRPr="00CB7F51">
        <w:rPr>
          <w:rFonts w:ascii="Verdana" w:eastAsia="Times New Roman" w:hAnsi="Verdana" w:cs="Times New Roman"/>
          <w:sz w:val="24"/>
          <w:szCs w:val="24"/>
          <w:vertAlign w:val="superscript"/>
        </w:rPr>
        <w:footnoteReference w:id="9"/>
      </w:r>
      <w:r w:rsidRPr="00CB7F51">
        <w:rPr>
          <w:rFonts w:ascii="Verdana" w:eastAsia="Times New Roman" w:hAnsi="Verdana" w:cs="Times New Roman"/>
          <w:sz w:val="24"/>
          <w:szCs w:val="24"/>
        </w:rPr>
        <w:t xml:space="preserve">; e lo si deve comunque fare per comprendere l’importante ruolo avuto dalla nozione di macchina, ed ancor più dagli esemplari coevi o precedenti di marchingegni, come i vari congegni di Brunelleschi, da Leonardo direttamente conosciuti e studiati in forma postuma quando si trovava a bottega presso il Verrocchio, intorno al 1469. Dopo la morte di Brunelleschi nel 1446, Verrocchio ricevette l’incarico di costruire la sfera di rame da istallarsi in cima alla lanterna della cupola di Santa Maria del Fiore, un simbolo del nesso armonico fra le arti, la </w:t>
      </w:r>
      <w:r w:rsidRPr="00CB7F51">
        <w:rPr>
          <w:rFonts w:ascii="Verdana" w:eastAsia="Times New Roman" w:hAnsi="Verdana" w:cs="Times New Roman"/>
          <w:sz w:val="24"/>
          <w:szCs w:val="24"/>
        </w:rPr>
        <w:lastRenderedPageBreak/>
        <w:t xml:space="preserve">forma geometrica più perfetta a coronamento di un’opera di architettura, il simbolo del Quattrocento fiorentino. In quella occasione cruciale, di poter apprendere le arti nella bottega di Verrocchio, il giovane Leonardo studiò, maneggiandoli e usandoli, i congegni per gli specchi ‘da fuoco’, gli specchi concavi necessari a fondere e saldare le lamine curvilinee, perfette e perfettamente interconnesse, necessari a costruire la sfera di rame </w:t>
      </w:r>
      <w:r w:rsidRPr="00CB7F51">
        <w:rPr>
          <w:rFonts w:ascii="Verdana" w:eastAsia="Times New Roman" w:hAnsi="Verdana" w:cs="Times New Roman"/>
          <w:sz w:val="24"/>
          <w:szCs w:val="24"/>
          <w:vertAlign w:val="superscript"/>
        </w:rPr>
        <w:footnoteReference w:id="10"/>
      </w:r>
      <w:r w:rsidRPr="00CB7F51">
        <w:rPr>
          <w:rFonts w:ascii="Verdana" w:eastAsia="Times New Roman" w:hAnsi="Verdana" w:cs="Times New Roman"/>
          <w:sz w:val="24"/>
          <w:szCs w:val="24"/>
        </w:rPr>
        <w:t xml:space="preserve">, ma si dedicò anche agli elevatori, le gru girevoli, gli ingranaggi, come l’argano </w:t>
      </w:r>
      <w:proofErr w:type="spellStart"/>
      <w:r w:rsidRPr="00CB7F51">
        <w:rPr>
          <w:rFonts w:ascii="Verdana" w:eastAsia="Times New Roman" w:hAnsi="Verdana" w:cs="Times New Roman"/>
          <w:sz w:val="24"/>
          <w:szCs w:val="24"/>
        </w:rPr>
        <w:t>bruneschelliano</w:t>
      </w:r>
      <w:proofErr w:type="spellEnd"/>
      <w:r w:rsidRPr="00CB7F51">
        <w:rPr>
          <w:rFonts w:ascii="Verdana" w:eastAsia="Times New Roman" w:hAnsi="Verdana" w:cs="Times New Roman"/>
          <w:sz w:val="24"/>
          <w:szCs w:val="24"/>
        </w:rPr>
        <w:t xml:space="preserve"> a tre velocità, e i marchingegni indispensabili ad alzare la sfera, e a fissarla alla sommità della cupola, una impresa che venne compiuta nel 1471, e che accompagnò la vita e l’immaginario della città fino a tutto il XVII secolo, assurgendo a simbolo dell’identità cittadina, ben oltre i creatori, gli artefici, gli istallatori e custodi di essa attraverso i più vari e mirabili dispositivi meccanici. Che tuttavia ben ne rappresentavano iconicamente l’eccezionalità e la perfezione.</w:t>
      </w:r>
    </w:p>
    <w:p w14:paraId="00000012" w14:textId="77777777" w:rsidR="00922161" w:rsidRPr="00CB7F51" w:rsidRDefault="00282F4C" w:rsidP="00CB7F51">
      <w:pPr>
        <w:spacing w:line="360" w:lineRule="auto"/>
        <w:ind w:firstLine="708"/>
        <w:jc w:val="both"/>
        <w:rPr>
          <w:rFonts w:ascii="Verdana" w:eastAsia="Times New Roman" w:hAnsi="Verdana" w:cs="Times New Roman"/>
          <w:sz w:val="24"/>
          <w:szCs w:val="24"/>
        </w:rPr>
      </w:pPr>
      <w:r w:rsidRPr="00CB7F51">
        <w:rPr>
          <w:rFonts w:ascii="Verdana" w:eastAsia="Times New Roman" w:hAnsi="Verdana" w:cs="Times New Roman"/>
          <w:sz w:val="24"/>
          <w:szCs w:val="24"/>
        </w:rPr>
        <w:t xml:space="preserve">Per tentare di fissare alcuni punti fermi dalla raccolta di esempi ed esperienze sia biografiche sia micro-storiche si può dire quanto segue: la nozione di macchina è espressa in Leonardo anche con il termine di </w:t>
      </w:r>
      <w:r w:rsidRPr="00CB7F51">
        <w:rPr>
          <w:rFonts w:ascii="Verdana" w:eastAsia="Times New Roman" w:hAnsi="Verdana" w:cs="Times New Roman"/>
          <w:i/>
          <w:sz w:val="24"/>
          <w:szCs w:val="24"/>
        </w:rPr>
        <w:t>macchinamento</w:t>
      </w:r>
      <w:r w:rsidRPr="00CB7F51">
        <w:rPr>
          <w:rFonts w:ascii="Verdana" w:eastAsia="Times New Roman" w:hAnsi="Verdana" w:cs="Times New Roman"/>
          <w:sz w:val="24"/>
          <w:szCs w:val="24"/>
        </w:rPr>
        <w:t xml:space="preserve"> e sinonimi, ma anche con il termine di </w:t>
      </w:r>
      <w:r w:rsidRPr="00CB7F51">
        <w:rPr>
          <w:rFonts w:ascii="Verdana" w:eastAsia="Times New Roman" w:hAnsi="Verdana" w:cs="Times New Roman"/>
          <w:i/>
          <w:sz w:val="24"/>
          <w:szCs w:val="24"/>
        </w:rPr>
        <w:t>strumento</w:t>
      </w:r>
      <w:r w:rsidRPr="00CB7F51">
        <w:rPr>
          <w:rFonts w:ascii="Verdana" w:eastAsia="Times New Roman" w:hAnsi="Verdana" w:cs="Times New Roman"/>
          <w:sz w:val="24"/>
          <w:szCs w:val="24"/>
        </w:rPr>
        <w:t xml:space="preserve">, per indicare il dispositivo, e con quello di </w:t>
      </w:r>
      <w:r w:rsidRPr="00CB7F51">
        <w:rPr>
          <w:rFonts w:ascii="Verdana" w:eastAsia="Times New Roman" w:hAnsi="Verdana" w:cs="Times New Roman"/>
          <w:i/>
          <w:sz w:val="24"/>
          <w:szCs w:val="24"/>
        </w:rPr>
        <w:t xml:space="preserve">elemento </w:t>
      </w:r>
      <w:proofErr w:type="spellStart"/>
      <w:r w:rsidRPr="00CB7F51">
        <w:rPr>
          <w:rFonts w:ascii="Verdana" w:eastAsia="Times New Roman" w:hAnsi="Verdana" w:cs="Times New Roman"/>
          <w:i/>
          <w:sz w:val="24"/>
          <w:szCs w:val="24"/>
        </w:rPr>
        <w:t>machinale</w:t>
      </w:r>
      <w:proofErr w:type="spellEnd"/>
      <w:r w:rsidRPr="00CB7F51">
        <w:rPr>
          <w:rFonts w:ascii="Verdana" w:eastAsia="Times New Roman" w:hAnsi="Verdana" w:cs="Times New Roman"/>
          <w:sz w:val="24"/>
          <w:szCs w:val="24"/>
        </w:rPr>
        <w:t xml:space="preserve"> per indicare la macchina semplice. Se confrontiamo questi usi linguistici con la nozione di oggi vediamo che oggi: La </w:t>
      </w:r>
      <w:r w:rsidRPr="00CB7F51">
        <w:rPr>
          <w:rFonts w:ascii="Verdana" w:eastAsia="Times New Roman" w:hAnsi="Verdana" w:cs="Times New Roman"/>
          <w:i/>
          <w:sz w:val="24"/>
          <w:szCs w:val="24"/>
        </w:rPr>
        <w:t>macchina</w:t>
      </w:r>
      <w:r w:rsidRPr="00CB7F51">
        <w:rPr>
          <w:rFonts w:ascii="Verdana" w:eastAsia="Times New Roman" w:hAnsi="Verdana" w:cs="Times New Roman"/>
          <w:sz w:val="24"/>
          <w:szCs w:val="24"/>
        </w:rPr>
        <w:t xml:space="preserve"> designa: a) sia un congegno meccanico che si stato ideato per fare un lavoro potenziato rispetto al </w:t>
      </w:r>
      <w:proofErr w:type="spellStart"/>
      <w:r w:rsidRPr="00CB7F51">
        <w:rPr>
          <w:rFonts w:ascii="Verdana" w:eastAsia="Times New Roman" w:hAnsi="Verdana" w:cs="Times New Roman"/>
          <w:i/>
          <w:sz w:val="24"/>
          <w:szCs w:val="24"/>
        </w:rPr>
        <w:t>labor</w:t>
      </w:r>
      <w:proofErr w:type="spellEnd"/>
      <w:r w:rsidRPr="00CB7F51">
        <w:rPr>
          <w:rFonts w:ascii="Verdana" w:eastAsia="Times New Roman" w:hAnsi="Verdana" w:cs="Times New Roman"/>
          <w:sz w:val="24"/>
          <w:szCs w:val="24"/>
        </w:rPr>
        <w:t xml:space="preserve"> che potrebbe svolgere un umano,  o un essere animato,  con le sole proprie forze, sia: b) un congegno che trasformi una energia determinata in un’altra. Non esiste una sostanziale distanza definitoria rispetto ai tempi di Leonardo, ma è più importante, ai fini di imparare dal passato esemplare, focalizzarsi sulla raffigurazione concreta e storicamente circostanziata che a partire dai testi più antichi, dai testi coevi e dalla condizione storica, ne aveva Leonardo: </w:t>
      </w:r>
    </w:p>
    <w:p w14:paraId="00000013" w14:textId="77777777" w:rsidR="00922161" w:rsidRPr="00CB7F51" w:rsidRDefault="00282F4C" w:rsidP="00CB7F51">
      <w:pPr>
        <w:spacing w:line="360" w:lineRule="auto"/>
        <w:ind w:firstLine="708"/>
        <w:jc w:val="both"/>
        <w:rPr>
          <w:rFonts w:ascii="Verdana" w:eastAsia="Times New Roman" w:hAnsi="Verdana" w:cs="Times New Roman"/>
          <w:sz w:val="24"/>
          <w:szCs w:val="24"/>
        </w:rPr>
      </w:pPr>
      <w:r w:rsidRPr="00CB7F51">
        <w:rPr>
          <w:rFonts w:ascii="Verdana" w:eastAsia="Times New Roman" w:hAnsi="Verdana" w:cs="Times New Roman"/>
          <w:sz w:val="24"/>
          <w:szCs w:val="24"/>
        </w:rPr>
        <w:t xml:space="preserve">Per lui, come per l’antichità e la stessa contemporaneità, esistono le componenti di un </w:t>
      </w:r>
      <w:proofErr w:type="spellStart"/>
      <w:r w:rsidRPr="00CB7F51">
        <w:rPr>
          <w:rFonts w:ascii="Verdana" w:eastAsia="Times New Roman" w:hAnsi="Verdana" w:cs="Times New Roman"/>
          <w:sz w:val="24"/>
          <w:szCs w:val="24"/>
        </w:rPr>
        <w:t>marchigegno</w:t>
      </w:r>
      <w:proofErr w:type="spellEnd"/>
      <w:r w:rsidRPr="00CB7F51">
        <w:rPr>
          <w:rFonts w:ascii="Verdana" w:eastAsia="Times New Roman" w:hAnsi="Verdana" w:cs="Times New Roman"/>
          <w:sz w:val="24"/>
          <w:szCs w:val="24"/>
        </w:rPr>
        <w:t xml:space="preserve"> non indipendenti dal complesso che </w:t>
      </w:r>
      <w:r w:rsidRPr="00CB7F51">
        <w:rPr>
          <w:rFonts w:ascii="Verdana" w:eastAsia="Times New Roman" w:hAnsi="Verdana" w:cs="Times New Roman"/>
          <w:sz w:val="24"/>
          <w:szCs w:val="24"/>
        </w:rPr>
        <w:lastRenderedPageBreak/>
        <w:t>contribuiscono a comporre e a far funzionare, come una rotella di ingranaggio; queste non sono da non confondere con le macchine semplici, gli strumenti non compositi e autosufficienti, non ulteriormente scomponibili; come l’asse, il piano inclinato, il cuneo, la vite, la leva  (queste due ultime di archimedea memoria), per fini di pace, o l’amigdala preistorica, per fini di guerra.</w:t>
      </w:r>
    </w:p>
    <w:p w14:paraId="00000014" w14:textId="087417DB" w:rsidR="00922161" w:rsidRPr="00CB7F51" w:rsidRDefault="00282F4C" w:rsidP="00CB7F51">
      <w:pPr>
        <w:spacing w:line="360" w:lineRule="auto"/>
        <w:ind w:firstLine="708"/>
        <w:jc w:val="both"/>
        <w:rPr>
          <w:rFonts w:ascii="Verdana" w:eastAsia="Times New Roman" w:hAnsi="Verdana" w:cs="Times New Roman"/>
          <w:sz w:val="24"/>
          <w:szCs w:val="24"/>
        </w:rPr>
      </w:pPr>
      <w:r w:rsidRPr="00CB7F51">
        <w:rPr>
          <w:rFonts w:ascii="Verdana" w:eastAsia="Times New Roman" w:hAnsi="Verdana" w:cs="Times New Roman"/>
          <w:sz w:val="24"/>
          <w:szCs w:val="24"/>
        </w:rPr>
        <w:t xml:space="preserve">Ricordiamo come Leonardo si inserisse consapevolmente sulla scia del grande Siracusano per i progetti tanto delle proprie macchine di pace quanto delle proprie macchine da guerra, e che egli stesso fosse considerato nel suo tempo un ingegno archimedeo. Degli elementi </w:t>
      </w:r>
      <w:proofErr w:type="spellStart"/>
      <w:r w:rsidRPr="00CB7F51">
        <w:rPr>
          <w:rFonts w:ascii="Verdana" w:eastAsia="Times New Roman" w:hAnsi="Verdana" w:cs="Times New Roman"/>
          <w:sz w:val="24"/>
          <w:szCs w:val="24"/>
        </w:rPr>
        <w:t>machinali</w:t>
      </w:r>
      <w:proofErr w:type="spellEnd"/>
      <w:r w:rsidRPr="00CB7F51">
        <w:rPr>
          <w:rFonts w:ascii="Verdana" w:eastAsia="Times New Roman" w:hAnsi="Verdana" w:cs="Times New Roman"/>
          <w:sz w:val="24"/>
          <w:szCs w:val="24"/>
        </w:rPr>
        <w:t xml:space="preserve">, come li chiamava, la vite infinita di Archimede ha un posto chiave nel mondo simbolico leonardesco - il movimento a spirale geometricamente riproducibile - e nei suoi più avveniristici prototipi, l’elicottero. Ma non solo. Questa visione archimedea di fondo giustifica anche la corrispondenza strutturale ma su base analogica fra meccanica, architettura e anatomia. “L’omo era detto dagli antiqui mondo minore”, e la notomia, ciò che ai tempi di Leonardo era l’anatomia, diviene il parallelo sistematico dell’astronomia, attraverso la matematica, la geometria, l’architettura vitruviana, e la stessa la fisica (di cui la meccanica è parte ‘nobile’ e universale) </w:t>
      </w:r>
      <w:r w:rsidRPr="00CB7F51">
        <w:rPr>
          <w:rFonts w:ascii="Verdana" w:eastAsia="Times New Roman" w:hAnsi="Verdana" w:cs="Times New Roman"/>
          <w:sz w:val="24"/>
          <w:szCs w:val="24"/>
          <w:vertAlign w:val="superscript"/>
        </w:rPr>
        <w:footnoteReference w:id="11"/>
      </w:r>
      <w:r w:rsidRPr="00CB7F51">
        <w:rPr>
          <w:rFonts w:ascii="Verdana" w:eastAsia="Times New Roman" w:hAnsi="Verdana" w:cs="Times New Roman"/>
          <w:sz w:val="24"/>
          <w:szCs w:val="24"/>
        </w:rPr>
        <w:t xml:space="preserve">. </w:t>
      </w:r>
    </w:p>
    <w:p w14:paraId="00000015" w14:textId="77777777" w:rsidR="00922161" w:rsidRPr="00CB7F51" w:rsidRDefault="00282F4C" w:rsidP="00CB7F51">
      <w:pPr>
        <w:spacing w:line="360" w:lineRule="auto"/>
        <w:ind w:firstLine="708"/>
        <w:jc w:val="both"/>
        <w:rPr>
          <w:rFonts w:ascii="Verdana" w:eastAsia="Times New Roman" w:hAnsi="Verdana" w:cs="Times New Roman"/>
          <w:sz w:val="24"/>
          <w:szCs w:val="24"/>
        </w:rPr>
      </w:pPr>
      <w:r w:rsidRPr="00CB7F51">
        <w:rPr>
          <w:rFonts w:ascii="Verdana" w:eastAsia="Times New Roman" w:hAnsi="Verdana" w:cs="Times New Roman"/>
          <w:sz w:val="24"/>
          <w:szCs w:val="24"/>
        </w:rPr>
        <w:lastRenderedPageBreak/>
        <w:t xml:space="preserve">La scomposizione della macchina nei suoi organi fondamentali, che possono essere già meccanismi semplicissimi, porta all’espianto dalla macchina e la raffigurazione tramite illustrazione come elementi isolati dal resto del dispositivo da cui derivano e che contribuiscono a costruire. In contemporanea, Leonardo applica questo metodo anche allo studio del corpo umano, che non si limita più a misurare secondo le indicazioni del libro di architettura di Vitruvio, l’architetto del I sec. d.C., ma inizia a sezionare sul tavolo anatomico, con il rispetto dovuto verso un’opera archetipica/architettonica, e in questo senso, sacra, a dispetto dei divieti ecclesiastici ed il rischio di essere accusato di negromanzia. </w:t>
      </w:r>
    </w:p>
    <w:p w14:paraId="00000016" w14:textId="77777777" w:rsidR="00922161" w:rsidRPr="00CB7F51" w:rsidRDefault="00282F4C" w:rsidP="00CB7F51">
      <w:pPr>
        <w:spacing w:line="360" w:lineRule="auto"/>
        <w:ind w:firstLine="708"/>
        <w:jc w:val="both"/>
        <w:rPr>
          <w:rFonts w:ascii="Verdana" w:eastAsia="Times New Roman" w:hAnsi="Verdana" w:cs="Times New Roman"/>
          <w:sz w:val="24"/>
          <w:szCs w:val="24"/>
        </w:rPr>
      </w:pPr>
      <w:r w:rsidRPr="00CB7F51">
        <w:rPr>
          <w:rFonts w:ascii="Verdana" w:eastAsia="Times New Roman" w:hAnsi="Verdana" w:cs="Times New Roman"/>
          <w:sz w:val="24"/>
          <w:szCs w:val="24"/>
        </w:rPr>
        <w:t>Risalendo ancor di più ai fondamenti, l’’aggettivo ‘meccanico’ richiama alla fondamentale branca della fisica che si occupa del moto (cinematica e dinamica) e dell’equilibrio (statica) dei corpi e delle grandezze che caratterizzano questi ultimi. Se vogliamo fin da subito guardare a Leonardo, in cui la scienza vera era la scienza sensibile fondata su princìpi matematici non possiamo dimenticare la sua considerazione fondamentale, e ispiratrice dell’intero cammino, anche se visto a ritroso. “la meccanica (scienza sensibile fondata sui principi veri e noti) è il paradiso delle scienze matematiche perché con quella si viene al frutto matematico” (</w:t>
      </w:r>
      <w:proofErr w:type="spellStart"/>
      <w:r w:rsidRPr="00CB7F51">
        <w:rPr>
          <w:rFonts w:ascii="Verdana" w:eastAsia="Times New Roman" w:hAnsi="Verdana" w:cs="Times New Roman"/>
          <w:sz w:val="24"/>
          <w:szCs w:val="24"/>
        </w:rPr>
        <w:t>Ms</w:t>
      </w:r>
      <w:proofErr w:type="spellEnd"/>
      <w:r w:rsidRPr="00CB7F51">
        <w:rPr>
          <w:rFonts w:ascii="Verdana" w:eastAsia="Times New Roman" w:hAnsi="Verdana" w:cs="Times New Roman"/>
          <w:sz w:val="24"/>
          <w:szCs w:val="24"/>
        </w:rPr>
        <w:t xml:space="preserve"> E, 8r).</w:t>
      </w:r>
    </w:p>
    <w:p w14:paraId="00000017" w14:textId="3A8539EA" w:rsidR="00922161" w:rsidRPr="00CB7F51" w:rsidRDefault="00282F4C" w:rsidP="00CB7F51">
      <w:pPr>
        <w:spacing w:line="360" w:lineRule="auto"/>
        <w:ind w:firstLine="708"/>
        <w:jc w:val="both"/>
        <w:rPr>
          <w:rFonts w:ascii="Verdana" w:eastAsia="Times New Roman" w:hAnsi="Verdana" w:cs="Times New Roman"/>
          <w:sz w:val="24"/>
          <w:szCs w:val="24"/>
        </w:rPr>
      </w:pPr>
      <w:r w:rsidRPr="00CB7F51">
        <w:rPr>
          <w:rFonts w:ascii="Verdana" w:eastAsia="Times New Roman" w:hAnsi="Verdana" w:cs="Times New Roman"/>
          <w:sz w:val="24"/>
          <w:szCs w:val="24"/>
        </w:rPr>
        <w:t xml:space="preserve">Più astrattamente, la macchina è oggi come ieri un qualsiasi dispositivo, qualcosa fatto di più parti integrate fra loro rispetto a uno scopo, la cui natura e funzione venga di necessità precisata da un contesto umano che lo porti a compimento pragmatico, da un complemento che lo qualifica nel momento in </w:t>
      </w:r>
      <w:r w:rsidRPr="00CB7F51">
        <w:rPr>
          <w:rFonts w:ascii="Verdana" w:eastAsia="Times New Roman" w:hAnsi="Verdana" w:cs="Times New Roman"/>
          <w:sz w:val="24"/>
          <w:szCs w:val="24"/>
        </w:rPr>
        <w:lastRenderedPageBreak/>
        <w:t xml:space="preserve">cui intendiamo classificarla. Macchina da scrivere, per cucire, fotografica; qui vediamo forse la maggior distanza dai tempi di Leonardo, in cui la ricchezza della nomenclatura indugiava nei dettagli definitori più minuti, mentre </w:t>
      </w:r>
      <w:r w:rsidR="00CB7F51" w:rsidRPr="00CB7F51">
        <w:rPr>
          <w:rFonts w:ascii="Verdana" w:eastAsia="Times New Roman" w:hAnsi="Verdana" w:cs="Times New Roman"/>
          <w:sz w:val="24"/>
          <w:szCs w:val="24"/>
        </w:rPr>
        <w:t>se classificazione</w:t>
      </w:r>
      <w:r w:rsidRPr="00CB7F51">
        <w:rPr>
          <w:rFonts w:ascii="Verdana" w:eastAsia="Times New Roman" w:hAnsi="Verdana" w:cs="Times New Roman"/>
          <w:sz w:val="24"/>
          <w:szCs w:val="24"/>
        </w:rPr>
        <w:t xml:space="preserve"> era sicuramente aperta ad includere sempre nuove tipologie di dispositivi, era strutturalmente binaria nel fornire il principale orientamento definitorio. Macchine di pace, macchine da guerra. Tutti artefatti, la cui funzione veniva esplicitata pur sempre dal contesto sociale, ma su un’asse binaria principale, e fondamentalmente politica. Se è vero che la guerra sia la continuazione della politica con altri mezzi, come diceva Carl von </w:t>
      </w:r>
      <w:proofErr w:type="spellStart"/>
      <w:r w:rsidRPr="00CB7F51">
        <w:rPr>
          <w:rFonts w:ascii="Verdana" w:eastAsia="Times New Roman" w:hAnsi="Verdana" w:cs="Times New Roman"/>
          <w:sz w:val="24"/>
          <w:szCs w:val="24"/>
        </w:rPr>
        <w:t>Clausewitz</w:t>
      </w:r>
      <w:proofErr w:type="spellEnd"/>
      <w:r w:rsidRPr="00CB7F51">
        <w:rPr>
          <w:rFonts w:ascii="Verdana" w:eastAsia="Times New Roman" w:hAnsi="Verdana" w:cs="Times New Roman"/>
          <w:sz w:val="24"/>
          <w:szCs w:val="24"/>
        </w:rPr>
        <w:t>, che, come tutti/e sanno, è stato il teorico, stratega e politico fondatore della nuova concezione della guerra successiva alla Rivoluzione francese.</w:t>
      </w:r>
    </w:p>
    <w:p w14:paraId="00000018" w14:textId="77777777" w:rsidR="00922161" w:rsidRPr="00CB7F51" w:rsidRDefault="00282F4C" w:rsidP="00CB7F51">
      <w:pPr>
        <w:spacing w:line="360" w:lineRule="auto"/>
        <w:ind w:firstLine="708"/>
        <w:jc w:val="both"/>
        <w:rPr>
          <w:rFonts w:ascii="Verdana" w:eastAsia="Times New Roman" w:hAnsi="Verdana" w:cs="Times New Roman"/>
          <w:sz w:val="24"/>
          <w:szCs w:val="24"/>
        </w:rPr>
      </w:pPr>
      <w:r w:rsidRPr="00CB7F51">
        <w:rPr>
          <w:rFonts w:ascii="Verdana" w:eastAsia="Times New Roman" w:hAnsi="Verdana" w:cs="Times New Roman"/>
          <w:sz w:val="24"/>
          <w:szCs w:val="24"/>
        </w:rPr>
        <w:t xml:space="preserve">Possiamo quindi dire che la macchina fosse allora, e sia tuttora, un artefatto composito che si muove o sta nel mondo, nozione che richiede a sua volta il punto di vista finalistico, ampiamente inteso, per essere dotata di un significato. La macchina rientra nel genere dello strumento in quanto inserita nello schema dell’intenzionalità, per cui è un “qualcosa avente valore e utilità per qualcuno allo scopo di ottenere qualcos’altro”. Tale schema va ben oltre la mera relazione biunivoca fra coscienza soggettiva e oggetto intenzionato ad uno scopo, scopo che determina la forma dell’oggetto stesso e lo ‘conforma’, appunto, all’obiettivo. Presuppone un contesto, una cornice simbolica e proiettiva di riferimento, intersoggettiva e spazializzata: cose, entità socializzate e relazioni fra le cose che sono immaginate/costruite, interpretate e messe in essere. Questo processo è irriducibilmente sociale perché mediato dalla prima di tutte le tecniche, il linguaggio; tale processo travalica il singolo </w:t>
      </w:r>
      <w:r w:rsidRPr="00CB7F51">
        <w:rPr>
          <w:rFonts w:ascii="Verdana" w:eastAsia="Times New Roman" w:hAnsi="Verdana" w:cs="Times New Roman"/>
          <w:i/>
          <w:sz w:val="24"/>
          <w:szCs w:val="24"/>
        </w:rPr>
        <w:t xml:space="preserve">hic et </w:t>
      </w:r>
      <w:proofErr w:type="spellStart"/>
      <w:r w:rsidRPr="00CB7F51">
        <w:rPr>
          <w:rFonts w:ascii="Verdana" w:eastAsia="Times New Roman" w:hAnsi="Verdana" w:cs="Times New Roman"/>
          <w:i/>
          <w:sz w:val="24"/>
          <w:szCs w:val="24"/>
        </w:rPr>
        <w:t>nunc</w:t>
      </w:r>
      <w:proofErr w:type="spellEnd"/>
      <w:r w:rsidRPr="00CB7F51">
        <w:rPr>
          <w:rFonts w:ascii="Verdana" w:eastAsia="Times New Roman" w:hAnsi="Verdana" w:cs="Times New Roman"/>
          <w:sz w:val="24"/>
          <w:szCs w:val="24"/>
        </w:rPr>
        <w:t xml:space="preserve"> e rende l’oggetto divenuto strumento </w:t>
      </w:r>
      <w:r w:rsidRPr="00CB7F51">
        <w:rPr>
          <w:rFonts w:ascii="Verdana" w:eastAsia="Times New Roman" w:hAnsi="Verdana" w:cs="Times New Roman"/>
          <w:i/>
          <w:sz w:val="24"/>
          <w:szCs w:val="24"/>
        </w:rPr>
        <w:t>qualcosa</w:t>
      </w:r>
      <w:r w:rsidRPr="00CB7F51">
        <w:rPr>
          <w:rFonts w:ascii="Verdana" w:eastAsia="Times New Roman" w:hAnsi="Verdana" w:cs="Times New Roman"/>
          <w:sz w:val="24"/>
          <w:szCs w:val="24"/>
        </w:rPr>
        <w:t xml:space="preserve"> di durevole e stabile nel tempo, riproducibile tramite sempre nuovi miglioramenti, sofisticazioni, aggiustamenti. Entro una dimensione collettiva di conferimento del significato. La macchina, a partire dalla stessa macchina semplice, diviene sì uno strumento all’ennesima potenza, ma ha in comune con lo strumento più semplice, come l’amigdala preistorica, la medesima ragion d’essere, che è quella di essere ‘tecnica’. Astrazione e materialità sono connessi attraverso lo </w:t>
      </w:r>
      <w:r w:rsidRPr="00CB7F51">
        <w:rPr>
          <w:rFonts w:ascii="Verdana" w:eastAsia="Times New Roman" w:hAnsi="Verdana" w:cs="Times New Roman"/>
          <w:sz w:val="24"/>
          <w:szCs w:val="24"/>
        </w:rPr>
        <w:lastRenderedPageBreak/>
        <w:t>schema dell’intenzionalità proiettiva, che costruisce un sistema tanto simbolico quanto materiale di relazioni. La macchina ne è la perfetta esemplificazione.</w:t>
      </w:r>
    </w:p>
    <w:p w14:paraId="00000019" w14:textId="6ADB1234" w:rsidR="00922161" w:rsidRDefault="00282F4C" w:rsidP="00CB7F51">
      <w:pPr>
        <w:spacing w:line="360" w:lineRule="auto"/>
        <w:ind w:firstLine="708"/>
        <w:jc w:val="both"/>
        <w:rPr>
          <w:rFonts w:ascii="Verdana" w:eastAsia="Times New Roman" w:hAnsi="Verdana" w:cs="Times New Roman"/>
          <w:sz w:val="24"/>
          <w:szCs w:val="24"/>
        </w:rPr>
      </w:pPr>
      <w:r w:rsidRPr="00CB7F51">
        <w:rPr>
          <w:rFonts w:ascii="Verdana" w:eastAsia="Times New Roman" w:hAnsi="Verdana" w:cs="Times New Roman"/>
          <w:sz w:val="24"/>
          <w:szCs w:val="24"/>
        </w:rPr>
        <w:t xml:space="preserve">Si è quindi tentato di cogliere il ruolo/i della ‘macchina’ in Leonardo ispirandosi, per combattere gli eccessi monodirezionali della rivoluzione digitale, alla definizione che N. </w:t>
      </w:r>
      <w:proofErr w:type="spellStart"/>
      <w:r w:rsidRPr="00CB7F51">
        <w:rPr>
          <w:rFonts w:ascii="Verdana" w:eastAsia="Times New Roman" w:hAnsi="Verdana" w:cs="Times New Roman"/>
          <w:sz w:val="24"/>
          <w:szCs w:val="24"/>
        </w:rPr>
        <w:t>Wiener</w:t>
      </w:r>
      <w:proofErr w:type="spellEnd"/>
      <w:r w:rsidRPr="00CB7F51">
        <w:rPr>
          <w:rFonts w:ascii="Verdana" w:eastAsia="Times New Roman" w:hAnsi="Verdana" w:cs="Times New Roman"/>
          <w:sz w:val="24"/>
          <w:szCs w:val="24"/>
        </w:rPr>
        <w:t xml:space="preserve"> ha dato alla cibernetica, alla disciplina che si occupa dello studio integrato della comunicazione e del controllo nell’animale (essere </w:t>
      </w:r>
      <w:r w:rsidRPr="00CB7F51">
        <w:rPr>
          <w:rFonts w:ascii="Verdana" w:eastAsia="Times New Roman" w:hAnsi="Verdana" w:cs="Times New Roman"/>
          <w:i/>
          <w:sz w:val="24"/>
          <w:szCs w:val="24"/>
        </w:rPr>
        <w:t>animato</w:t>
      </w:r>
      <w:r w:rsidRPr="00CB7F51">
        <w:rPr>
          <w:rFonts w:ascii="Verdana" w:eastAsia="Times New Roman" w:hAnsi="Verdana" w:cs="Times New Roman"/>
          <w:sz w:val="24"/>
          <w:szCs w:val="24"/>
        </w:rPr>
        <w:t xml:space="preserve">) e nella macchina, entrambi intesi come </w:t>
      </w:r>
      <w:r w:rsidRPr="00CB7F51">
        <w:rPr>
          <w:rFonts w:ascii="Verdana" w:eastAsia="Times New Roman" w:hAnsi="Verdana" w:cs="Times New Roman"/>
          <w:i/>
          <w:sz w:val="24"/>
          <w:szCs w:val="24"/>
        </w:rPr>
        <w:t xml:space="preserve">sistemi, caratterizzati tanto da materialità quanto da astrazione. </w:t>
      </w:r>
      <w:r w:rsidRPr="00CB7F51">
        <w:rPr>
          <w:rFonts w:ascii="Verdana" w:eastAsia="Times New Roman" w:hAnsi="Verdana" w:cs="Times New Roman"/>
          <w:sz w:val="24"/>
          <w:szCs w:val="24"/>
        </w:rPr>
        <w:t xml:space="preserve">Per congiungere simbolicamente le due prospettive, occorre riconoscere che sussista una condizione di </w:t>
      </w:r>
      <w:r w:rsidRPr="00CB7F51">
        <w:rPr>
          <w:rFonts w:ascii="Verdana" w:eastAsia="Times New Roman" w:hAnsi="Verdana" w:cs="Times New Roman"/>
          <w:i/>
          <w:sz w:val="24"/>
          <w:szCs w:val="24"/>
        </w:rPr>
        <w:t>compenetrazione</w:t>
      </w:r>
      <w:r w:rsidRPr="00CB7F51">
        <w:rPr>
          <w:rFonts w:ascii="Verdana" w:eastAsia="Times New Roman" w:hAnsi="Verdana" w:cs="Times New Roman"/>
          <w:sz w:val="24"/>
          <w:szCs w:val="24"/>
        </w:rPr>
        <w:t xml:space="preserve">, un nesso </w:t>
      </w:r>
      <w:r w:rsidRPr="00CB7F51">
        <w:rPr>
          <w:rFonts w:ascii="Verdana" w:eastAsia="Times New Roman" w:hAnsi="Verdana" w:cs="Times New Roman"/>
          <w:i/>
          <w:sz w:val="24"/>
          <w:szCs w:val="24"/>
        </w:rPr>
        <w:t>dinamico, circolare e non rescindibile</w:t>
      </w:r>
      <w:r w:rsidRPr="00CB7F51">
        <w:rPr>
          <w:rFonts w:ascii="Verdana" w:eastAsia="Times New Roman" w:hAnsi="Verdana" w:cs="Times New Roman"/>
          <w:sz w:val="24"/>
          <w:szCs w:val="24"/>
        </w:rPr>
        <w:t xml:space="preserve"> fra la materialità corporea e macchinica e la smaterializzazione dell’</w:t>
      </w:r>
      <w:r w:rsidRPr="00CB7F51">
        <w:rPr>
          <w:rFonts w:ascii="Verdana" w:eastAsia="Times New Roman" w:hAnsi="Verdana" w:cs="Times New Roman"/>
          <w:i/>
          <w:sz w:val="24"/>
          <w:szCs w:val="24"/>
        </w:rPr>
        <w:t>inventio</w:t>
      </w:r>
      <w:r w:rsidRPr="00CB7F51">
        <w:rPr>
          <w:rFonts w:ascii="Verdana" w:eastAsia="Times New Roman" w:hAnsi="Verdana" w:cs="Times New Roman"/>
          <w:sz w:val="24"/>
          <w:szCs w:val="24"/>
        </w:rPr>
        <w:t xml:space="preserve"> e/o della sublimazione matematica, </w:t>
      </w:r>
      <w:r w:rsidRPr="00CB7F51">
        <w:rPr>
          <w:rFonts w:ascii="Verdana" w:eastAsia="Times New Roman" w:hAnsi="Verdana" w:cs="Times New Roman"/>
          <w:i/>
          <w:sz w:val="24"/>
          <w:szCs w:val="24"/>
        </w:rPr>
        <w:t>un nesso che avviene sempre entro contesti e per scopi determinati</w:t>
      </w:r>
      <w:r w:rsidRPr="00CB7F51">
        <w:rPr>
          <w:rFonts w:ascii="Verdana" w:eastAsia="Times New Roman" w:hAnsi="Verdana" w:cs="Times New Roman"/>
          <w:sz w:val="24"/>
          <w:szCs w:val="24"/>
        </w:rPr>
        <w:t>. Da cui non è possibile prescindere, né mai lo è stato.</w:t>
      </w:r>
    </w:p>
    <w:p w14:paraId="544D095E" w14:textId="77777777" w:rsidR="00CB7F51" w:rsidRDefault="00CB7F51" w:rsidP="00CB7F51">
      <w:pPr>
        <w:spacing w:line="360" w:lineRule="auto"/>
        <w:jc w:val="both"/>
        <w:rPr>
          <w:rFonts w:ascii="Verdana" w:eastAsia="Times New Roman" w:hAnsi="Verdana" w:cs="Times New Roman"/>
          <w:b/>
          <w:bCs/>
          <w:sz w:val="24"/>
          <w:szCs w:val="24"/>
        </w:rPr>
      </w:pPr>
    </w:p>
    <w:p w14:paraId="7FB741A3" w14:textId="21B91450" w:rsidR="00CB7F51" w:rsidRDefault="00CB7F51" w:rsidP="00CB7F51">
      <w:pPr>
        <w:spacing w:line="360" w:lineRule="auto"/>
        <w:jc w:val="both"/>
        <w:rPr>
          <w:rFonts w:ascii="Verdana" w:eastAsia="Times New Roman" w:hAnsi="Verdana" w:cs="Times New Roman"/>
          <w:b/>
          <w:bCs/>
          <w:sz w:val="24"/>
          <w:szCs w:val="24"/>
        </w:rPr>
      </w:pPr>
      <w:r>
        <w:rPr>
          <w:rFonts w:ascii="Verdana" w:eastAsia="Times New Roman" w:hAnsi="Verdana" w:cs="Times New Roman"/>
          <w:b/>
          <w:bCs/>
          <w:sz w:val="24"/>
          <w:szCs w:val="24"/>
        </w:rPr>
        <w:t>Bibliografia</w:t>
      </w:r>
    </w:p>
    <w:p w14:paraId="2D357FB8" w14:textId="77777777" w:rsidR="00C62044" w:rsidRPr="00C62044" w:rsidRDefault="00C62044" w:rsidP="00C62044">
      <w:pPr>
        <w:spacing w:line="360" w:lineRule="auto"/>
        <w:jc w:val="both"/>
        <w:rPr>
          <w:rFonts w:ascii="Verdana" w:eastAsia="Times New Roman" w:hAnsi="Verdana" w:cs="Times New Roman"/>
          <w:sz w:val="24"/>
          <w:szCs w:val="24"/>
        </w:rPr>
      </w:pPr>
      <w:r w:rsidRPr="00C62044">
        <w:rPr>
          <w:rFonts w:ascii="Verdana" w:eastAsia="Times New Roman" w:hAnsi="Verdana" w:cs="Times New Roman"/>
          <w:sz w:val="24"/>
          <w:szCs w:val="24"/>
        </w:rPr>
        <w:t>Battisti, E., L’</w:t>
      </w:r>
      <w:proofErr w:type="spellStart"/>
      <w:r w:rsidRPr="00C62044">
        <w:rPr>
          <w:rFonts w:ascii="Verdana" w:eastAsia="Times New Roman" w:hAnsi="Verdana" w:cs="Times New Roman"/>
          <w:sz w:val="24"/>
          <w:szCs w:val="24"/>
        </w:rPr>
        <w:t>Antirinascimento</w:t>
      </w:r>
      <w:proofErr w:type="spellEnd"/>
      <w:r w:rsidRPr="00C62044">
        <w:rPr>
          <w:rFonts w:ascii="Verdana" w:eastAsia="Times New Roman" w:hAnsi="Verdana" w:cs="Times New Roman"/>
          <w:sz w:val="24"/>
          <w:szCs w:val="24"/>
        </w:rPr>
        <w:t xml:space="preserve">, Aragno, Torino 2005; E. </w:t>
      </w:r>
      <w:proofErr w:type="spellStart"/>
      <w:r w:rsidRPr="00C62044">
        <w:rPr>
          <w:rFonts w:ascii="Verdana" w:eastAsia="Times New Roman" w:hAnsi="Verdana" w:cs="Times New Roman"/>
          <w:sz w:val="24"/>
          <w:szCs w:val="24"/>
        </w:rPr>
        <w:t>Raimondi</w:t>
      </w:r>
      <w:proofErr w:type="spellEnd"/>
      <w:r w:rsidRPr="00C62044">
        <w:rPr>
          <w:rFonts w:ascii="Verdana" w:eastAsia="Times New Roman" w:hAnsi="Verdana" w:cs="Times New Roman"/>
          <w:sz w:val="24"/>
          <w:szCs w:val="24"/>
        </w:rPr>
        <w:t>, Rinascimento inquieto, Einaudi, Torino 1994.</w:t>
      </w:r>
    </w:p>
    <w:p w14:paraId="7871936D" w14:textId="77777777" w:rsidR="00C62044" w:rsidRPr="00C62044" w:rsidRDefault="00C62044" w:rsidP="00C62044">
      <w:pPr>
        <w:spacing w:line="360" w:lineRule="auto"/>
        <w:jc w:val="both"/>
        <w:rPr>
          <w:rFonts w:ascii="Verdana" w:eastAsia="Times New Roman" w:hAnsi="Verdana" w:cs="Times New Roman"/>
          <w:sz w:val="24"/>
          <w:szCs w:val="24"/>
        </w:rPr>
      </w:pPr>
      <w:proofErr w:type="spellStart"/>
      <w:r w:rsidRPr="00C62044">
        <w:rPr>
          <w:rFonts w:ascii="Verdana" w:eastAsia="Times New Roman" w:hAnsi="Verdana" w:cs="Times New Roman"/>
          <w:sz w:val="24"/>
          <w:szCs w:val="24"/>
        </w:rPr>
        <w:t>Cantimori</w:t>
      </w:r>
      <w:proofErr w:type="spellEnd"/>
      <w:r w:rsidRPr="00C62044">
        <w:rPr>
          <w:rFonts w:ascii="Verdana" w:eastAsia="Times New Roman" w:hAnsi="Verdana" w:cs="Times New Roman"/>
          <w:sz w:val="24"/>
          <w:szCs w:val="24"/>
        </w:rPr>
        <w:t>, D., Studi di Storia, Einaudi, Torino 1976, pp. 455-460.</w:t>
      </w:r>
    </w:p>
    <w:p w14:paraId="3831B7C8" w14:textId="77777777" w:rsidR="00C62044" w:rsidRPr="00C62044" w:rsidRDefault="00C62044" w:rsidP="00C62044">
      <w:pPr>
        <w:spacing w:line="360" w:lineRule="auto"/>
        <w:jc w:val="both"/>
        <w:rPr>
          <w:rFonts w:ascii="Verdana" w:eastAsia="Times New Roman" w:hAnsi="Verdana" w:cs="Times New Roman"/>
          <w:sz w:val="24"/>
          <w:szCs w:val="24"/>
        </w:rPr>
      </w:pPr>
      <w:proofErr w:type="spellStart"/>
      <w:r w:rsidRPr="00C62044">
        <w:rPr>
          <w:rFonts w:ascii="Verdana" w:eastAsia="Times New Roman" w:hAnsi="Verdana" w:cs="Times New Roman"/>
          <w:sz w:val="24"/>
          <w:szCs w:val="24"/>
        </w:rPr>
        <w:t>Cassirer</w:t>
      </w:r>
      <w:proofErr w:type="spellEnd"/>
      <w:r w:rsidRPr="00C62044">
        <w:rPr>
          <w:rFonts w:ascii="Verdana" w:eastAsia="Times New Roman" w:hAnsi="Verdana" w:cs="Times New Roman"/>
          <w:sz w:val="24"/>
          <w:szCs w:val="24"/>
        </w:rPr>
        <w:t xml:space="preserve">, E., </w:t>
      </w:r>
      <w:proofErr w:type="spellStart"/>
      <w:r w:rsidRPr="00C62044">
        <w:rPr>
          <w:rFonts w:ascii="Verdana" w:eastAsia="Times New Roman" w:hAnsi="Verdana" w:cs="Times New Roman"/>
          <w:sz w:val="24"/>
          <w:szCs w:val="24"/>
        </w:rPr>
        <w:t>Individuum</w:t>
      </w:r>
      <w:proofErr w:type="spellEnd"/>
      <w:r w:rsidRPr="00C62044">
        <w:rPr>
          <w:rFonts w:ascii="Verdana" w:eastAsia="Times New Roman" w:hAnsi="Verdana" w:cs="Times New Roman"/>
          <w:sz w:val="24"/>
          <w:szCs w:val="24"/>
        </w:rPr>
        <w:t xml:space="preserve"> und </w:t>
      </w:r>
      <w:proofErr w:type="spellStart"/>
      <w:r w:rsidRPr="00C62044">
        <w:rPr>
          <w:rFonts w:ascii="Verdana" w:eastAsia="Times New Roman" w:hAnsi="Verdana" w:cs="Times New Roman"/>
          <w:sz w:val="24"/>
          <w:szCs w:val="24"/>
        </w:rPr>
        <w:t>Kosmos</w:t>
      </w:r>
      <w:proofErr w:type="spellEnd"/>
      <w:r w:rsidRPr="00C62044">
        <w:rPr>
          <w:rFonts w:ascii="Verdana" w:eastAsia="Times New Roman" w:hAnsi="Verdana" w:cs="Times New Roman"/>
          <w:sz w:val="24"/>
          <w:szCs w:val="24"/>
        </w:rPr>
        <w:t xml:space="preserve"> in </w:t>
      </w:r>
      <w:proofErr w:type="spellStart"/>
      <w:r w:rsidRPr="00C62044">
        <w:rPr>
          <w:rFonts w:ascii="Verdana" w:eastAsia="Times New Roman" w:hAnsi="Verdana" w:cs="Times New Roman"/>
          <w:sz w:val="24"/>
          <w:szCs w:val="24"/>
        </w:rPr>
        <w:t>der</w:t>
      </w:r>
      <w:proofErr w:type="spellEnd"/>
      <w:r w:rsidRPr="00C62044">
        <w:rPr>
          <w:rFonts w:ascii="Verdana" w:eastAsia="Times New Roman" w:hAnsi="Verdana" w:cs="Times New Roman"/>
          <w:sz w:val="24"/>
          <w:szCs w:val="24"/>
        </w:rPr>
        <w:t xml:space="preserve"> </w:t>
      </w:r>
      <w:proofErr w:type="spellStart"/>
      <w:r w:rsidRPr="00C62044">
        <w:rPr>
          <w:rFonts w:ascii="Verdana" w:eastAsia="Times New Roman" w:hAnsi="Verdana" w:cs="Times New Roman"/>
          <w:sz w:val="24"/>
          <w:szCs w:val="24"/>
        </w:rPr>
        <w:t>Philosophie</w:t>
      </w:r>
      <w:proofErr w:type="spellEnd"/>
      <w:r w:rsidRPr="00C62044">
        <w:rPr>
          <w:rFonts w:ascii="Verdana" w:eastAsia="Times New Roman" w:hAnsi="Verdana" w:cs="Times New Roman"/>
          <w:sz w:val="24"/>
          <w:szCs w:val="24"/>
        </w:rPr>
        <w:t xml:space="preserve"> </w:t>
      </w:r>
      <w:proofErr w:type="spellStart"/>
      <w:r w:rsidRPr="00C62044">
        <w:rPr>
          <w:rFonts w:ascii="Verdana" w:eastAsia="Times New Roman" w:hAnsi="Verdana" w:cs="Times New Roman"/>
          <w:sz w:val="24"/>
          <w:szCs w:val="24"/>
        </w:rPr>
        <w:t>der</w:t>
      </w:r>
      <w:proofErr w:type="spellEnd"/>
      <w:r w:rsidRPr="00C62044">
        <w:rPr>
          <w:rFonts w:ascii="Verdana" w:eastAsia="Times New Roman" w:hAnsi="Verdana" w:cs="Times New Roman"/>
          <w:sz w:val="24"/>
          <w:szCs w:val="24"/>
        </w:rPr>
        <w:t xml:space="preserve"> </w:t>
      </w:r>
      <w:proofErr w:type="spellStart"/>
      <w:r w:rsidRPr="00C62044">
        <w:rPr>
          <w:rFonts w:ascii="Verdana" w:eastAsia="Times New Roman" w:hAnsi="Verdana" w:cs="Times New Roman"/>
          <w:sz w:val="24"/>
          <w:szCs w:val="24"/>
        </w:rPr>
        <w:t>Renaissance</w:t>
      </w:r>
      <w:proofErr w:type="spellEnd"/>
      <w:r w:rsidRPr="00C62044">
        <w:rPr>
          <w:rFonts w:ascii="Verdana" w:eastAsia="Times New Roman" w:hAnsi="Verdana" w:cs="Times New Roman"/>
          <w:sz w:val="24"/>
          <w:szCs w:val="24"/>
        </w:rPr>
        <w:t xml:space="preserve">, </w:t>
      </w:r>
      <w:proofErr w:type="spellStart"/>
      <w:r w:rsidRPr="00C62044">
        <w:rPr>
          <w:rFonts w:ascii="Verdana" w:eastAsia="Times New Roman" w:hAnsi="Verdana" w:cs="Times New Roman"/>
          <w:sz w:val="24"/>
          <w:szCs w:val="24"/>
        </w:rPr>
        <w:t>Meiner</w:t>
      </w:r>
      <w:proofErr w:type="spellEnd"/>
      <w:r w:rsidRPr="00C62044">
        <w:rPr>
          <w:rFonts w:ascii="Verdana" w:eastAsia="Times New Roman" w:hAnsi="Verdana" w:cs="Times New Roman"/>
          <w:sz w:val="24"/>
          <w:szCs w:val="24"/>
        </w:rPr>
        <w:t xml:space="preserve"> </w:t>
      </w:r>
      <w:proofErr w:type="spellStart"/>
      <w:r w:rsidRPr="00C62044">
        <w:rPr>
          <w:rFonts w:ascii="Verdana" w:eastAsia="Times New Roman" w:hAnsi="Verdana" w:cs="Times New Roman"/>
          <w:sz w:val="24"/>
          <w:szCs w:val="24"/>
        </w:rPr>
        <w:t>Verlag</w:t>
      </w:r>
      <w:proofErr w:type="spellEnd"/>
      <w:r w:rsidRPr="00C62044">
        <w:rPr>
          <w:rFonts w:ascii="Verdana" w:eastAsia="Times New Roman" w:hAnsi="Verdana" w:cs="Times New Roman"/>
          <w:sz w:val="24"/>
          <w:szCs w:val="24"/>
        </w:rPr>
        <w:t xml:space="preserve">, 2013 (originale, 1927), a cura di G. Targia, F. Plaga, C. </w:t>
      </w:r>
      <w:proofErr w:type="spellStart"/>
      <w:r w:rsidRPr="00C62044">
        <w:rPr>
          <w:rFonts w:ascii="Verdana" w:eastAsia="Times New Roman" w:hAnsi="Verdana" w:cs="Times New Roman"/>
          <w:sz w:val="24"/>
          <w:szCs w:val="24"/>
        </w:rPr>
        <w:t>Rosenkranz</w:t>
      </w:r>
      <w:proofErr w:type="spellEnd"/>
      <w:r w:rsidRPr="00C62044">
        <w:rPr>
          <w:rFonts w:ascii="Verdana" w:eastAsia="Times New Roman" w:hAnsi="Verdana" w:cs="Times New Roman"/>
          <w:sz w:val="24"/>
          <w:szCs w:val="24"/>
        </w:rPr>
        <w:t xml:space="preserve">, M. </w:t>
      </w:r>
      <w:proofErr w:type="spellStart"/>
      <w:r w:rsidRPr="00C62044">
        <w:rPr>
          <w:rFonts w:ascii="Verdana" w:eastAsia="Times New Roman" w:hAnsi="Verdana" w:cs="Times New Roman"/>
          <w:sz w:val="24"/>
          <w:szCs w:val="24"/>
        </w:rPr>
        <w:t>Ghelardi</w:t>
      </w:r>
      <w:proofErr w:type="spellEnd"/>
      <w:r w:rsidRPr="00C62044">
        <w:rPr>
          <w:rFonts w:ascii="Verdana" w:eastAsia="Times New Roman" w:hAnsi="Verdana" w:cs="Times New Roman"/>
          <w:sz w:val="24"/>
          <w:szCs w:val="24"/>
        </w:rPr>
        <w:t xml:space="preserve">, Individuo e cosmo nella filosofia del Rinascimento, Bollati </w:t>
      </w:r>
      <w:proofErr w:type="spellStart"/>
      <w:r w:rsidRPr="00C62044">
        <w:rPr>
          <w:rFonts w:ascii="Verdana" w:eastAsia="Times New Roman" w:hAnsi="Verdana" w:cs="Times New Roman"/>
          <w:sz w:val="24"/>
          <w:szCs w:val="24"/>
        </w:rPr>
        <w:t>Boringhieri</w:t>
      </w:r>
      <w:proofErr w:type="spellEnd"/>
      <w:r w:rsidRPr="00C62044">
        <w:rPr>
          <w:rFonts w:ascii="Verdana" w:eastAsia="Times New Roman" w:hAnsi="Verdana" w:cs="Times New Roman"/>
          <w:sz w:val="24"/>
          <w:szCs w:val="24"/>
        </w:rPr>
        <w:t>, 2012.</w:t>
      </w:r>
    </w:p>
    <w:p w14:paraId="66643ECF" w14:textId="77777777" w:rsidR="00C62044" w:rsidRPr="00C62044" w:rsidRDefault="00C62044" w:rsidP="00C62044">
      <w:pPr>
        <w:spacing w:line="360" w:lineRule="auto"/>
        <w:jc w:val="both"/>
        <w:rPr>
          <w:rFonts w:ascii="Verdana" w:eastAsia="Times New Roman" w:hAnsi="Verdana" w:cs="Times New Roman"/>
          <w:sz w:val="24"/>
          <w:szCs w:val="24"/>
        </w:rPr>
      </w:pPr>
      <w:r w:rsidRPr="00C62044">
        <w:rPr>
          <w:rFonts w:ascii="Verdana" w:eastAsia="Times New Roman" w:hAnsi="Verdana" w:cs="Times New Roman"/>
          <w:sz w:val="24"/>
          <w:szCs w:val="24"/>
        </w:rPr>
        <w:t>Ciliberto, M., Figure in chiaroscuro. Filosofia e storiografia nel Novecento, Edizioni di Storia e Letteratura, Roma 2001, pp. 185-206.</w:t>
      </w:r>
    </w:p>
    <w:p w14:paraId="2ECA6C28" w14:textId="77777777" w:rsidR="00C62044" w:rsidRPr="00C62044" w:rsidRDefault="00C62044" w:rsidP="00C62044">
      <w:pPr>
        <w:spacing w:line="360" w:lineRule="auto"/>
        <w:jc w:val="both"/>
        <w:rPr>
          <w:rFonts w:ascii="Verdana" w:eastAsia="Times New Roman" w:hAnsi="Verdana" w:cs="Times New Roman"/>
          <w:sz w:val="24"/>
          <w:szCs w:val="24"/>
        </w:rPr>
      </w:pPr>
      <w:r w:rsidRPr="00C62044">
        <w:rPr>
          <w:rFonts w:ascii="Verdana" w:eastAsia="Times New Roman" w:hAnsi="Verdana" w:cs="Times New Roman"/>
          <w:sz w:val="24"/>
          <w:szCs w:val="24"/>
        </w:rPr>
        <w:t>De Giovanni, B., La filosofia e l’Europa moderna, il Mulino, Bologna 2004, p. 73 ss.</w:t>
      </w:r>
    </w:p>
    <w:p w14:paraId="26A41605" w14:textId="77777777" w:rsidR="00C62044" w:rsidRPr="00C62044" w:rsidRDefault="00C62044" w:rsidP="00C62044">
      <w:pPr>
        <w:spacing w:line="360" w:lineRule="auto"/>
        <w:jc w:val="both"/>
        <w:rPr>
          <w:rFonts w:ascii="Verdana" w:eastAsia="Times New Roman" w:hAnsi="Verdana" w:cs="Times New Roman"/>
          <w:sz w:val="24"/>
          <w:szCs w:val="24"/>
        </w:rPr>
      </w:pPr>
      <w:proofErr w:type="spellStart"/>
      <w:r w:rsidRPr="00C62044">
        <w:rPr>
          <w:rFonts w:ascii="Verdana" w:eastAsia="Times New Roman" w:hAnsi="Verdana" w:cs="Times New Roman"/>
          <w:sz w:val="24"/>
          <w:szCs w:val="24"/>
        </w:rPr>
        <w:t>Dionisotti</w:t>
      </w:r>
      <w:proofErr w:type="spellEnd"/>
      <w:r w:rsidRPr="00C62044">
        <w:rPr>
          <w:rFonts w:ascii="Verdana" w:eastAsia="Times New Roman" w:hAnsi="Verdana" w:cs="Times New Roman"/>
          <w:sz w:val="24"/>
          <w:szCs w:val="24"/>
        </w:rPr>
        <w:t>, C., Geografia e storia della letteratura italiana, Einaudi, Torino 1999.</w:t>
      </w:r>
    </w:p>
    <w:p w14:paraId="7FED8F56" w14:textId="77777777" w:rsidR="00C62044" w:rsidRPr="00C62044" w:rsidRDefault="00C62044" w:rsidP="00C62044">
      <w:pPr>
        <w:spacing w:line="360" w:lineRule="auto"/>
        <w:jc w:val="both"/>
        <w:rPr>
          <w:rFonts w:ascii="Verdana" w:eastAsia="Times New Roman" w:hAnsi="Verdana" w:cs="Times New Roman"/>
          <w:sz w:val="24"/>
          <w:szCs w:val="24"/>
        </w:rPr>
      </w:pPr>
      <w:proofErr w:type="spellStart"/>
      <w:r w:rsidRPr="00C62044">
        <w:rPr>
          <w:rFonts w:ascii="Verdana" w:eastAsia="Times New Roman" w:hAnsi="Verdana" w:cs="Times New Roman"/>
          <w:sz w:val="24"/>
          <w:szCs w:val="24"/>
        </w:rPr>
        <w:lastRenderedPageBreak/>
        <w:t>Garin</w:t>
      </w:r>
      <w:proofErr w:type="spellEnd"/>
      <w:r w:rsidRPr="00C62044">
        <w:rPr>
          <w:rFonts w:ascii="Verdana" w:eastAsia="Times New Roman" w:hAnsi="Verdana" w:cs="Times New Roman"/>
          <w:sz w:val="24"/>
          <w:szCs w:val="24"/>
        </w:rPr>
        <w:t>, E., Scienza e vita civile nel Rinascimento italiano, Laterza, Roma-Bari (1965) 1972, pp. 34-36.</w:t>
      </w:r>
    </w:p>
    <w:p w14:paraId="57A0C80F" w14:textId="77777777" w:rsidR="00C62044" w:rsidRPr="00C62044" w:rsidRDefault="00C62044" w:rsidP="00C62044">
      <w:pPr>
        <w:spacing w:line="360" w:lineRule="auto"/>
        <w:jc w:val="both"/>
        <w:rPr>
          <w:rFonts w:ascii="Verdana" w:eastAsia="Times New Roman" w:hAnsi="Verdana" w:cs="Times New Roman"/>
          <w:sz w:val="24"/>
          <w:szCs w:val="24"/>
        </w:rPr>
      </w:pPr>
      <w:proofErr w:type="spellStart"/>
      <w:r w:rsidRPr="00C62044">
        <w:rPr>
          <w:rFonts w:ascii="Verdana" w:eastAsia="Times New Roman" w:hAnsi="Verdana" w:cs="Times New Roman"/>
          <w:sz w:val="24"/>
          <w:szCs w:val="24"/>
        </w:rPr>
        <w:t>Garin</w:t>
      </w:r>
      <w:proofErr w:type="spellEnd"/>
      <w:r w:rsidRPr="00C62044">
        <w:rPr>
          <w:rFonts w:ascii="Verdana" w:eastAsia="Times New Roman" w:hAnsi="Verdana" w:cs="Times New Roman"/>
          <w:sz w:val="24"/>
          <w:szCs w:val="24"/>
        </w:rPr>
        <w:t xml:space="preserve">, E., La città in Leonardo, poi in P. Galluzzi (a cura di), Leonardo da Vinci letto e commentato, Giunti </w:t>
      </w:r>
      <w:proofErr w:type="spellStart"/>
      <w:r w:rsidRPr="00C62044">
        <w:rPr>
          <w:rFonts w:ascii="Verdana" w:eastAsia="Times New Roman" w:hAnsi="Verdana" w:cs="Times New Roman"/>
          <w:sz w:val="24"/>
          <w:szCs w:val="24"/>
        </w:rPr>
        <w:t>Barbèra</w:t>
      </w:r>
      <w:proofErr w:type="spellEnd"/>
      <w:r w:rsidRPr="00C62044">
        <w:rPr>
          <w:rFonts w:ascii="Verdana" w:eastAsia="Times New Roman" w:hAnsi="Verdana" w:cs="Times New Roman"/>
          <w:sz w:val="24"/>
          <w:szCs w:val="24"/>
        </w:rPr>
        <w:t>, Firenze 1974, pp. 309-325.</w:t>
      </w:r>
    </w:p>
    <w:p w14:paraId="4E27BDFE" w14:textId="77777777" w:rsidR="00C62044" w:rsidRPr="00C62044" w:rsidRDefault="00C62044" w:rsidP="00C62044">
      <w:pPr>
        <w:spacing w:line="360" w:lineRule="auto"/>
        <w:jc w:val="both"/>
        <w:rPr>
          <w:rFonts w:ascii="Verdana" w:eastAsia="Times New Roman" w:hAnsi="Verdana" w:cs="Times New Roman"/>
          <w:sz w:val="24"/>
          <w:szCs w:val="24"/>
        </w:rPr>
      </w:pPr>
      <w:r w:rsidRPr="00C62044">
        <w:rPr>
          <w:rFonts w:ascii="Verdana" w:eastAsia="Times New Roman" w:hAnsi="Verdana" w:cs="Times New Roman"/>
          <w:sz w:val="24"/>
          <w:szCs w:val="24"/>
        </w:rPr>
        <w:t xml:space="preserve">Gros-P., P.. Clini-D. </w:t>
      </w:r>
      <w:proofErr w:type="spellStart"/>
      <w:r w:rsidRPr="00C62044">
        <w:rPr>
          <w:rFonts w:ascii="Verdana" w:eastAsia="Times New Roman" w:hAnsi="Verdana" w:cs="Times New Roman"/>
          <w:sz w:val="24"/>
          <w:szCs w:val="24"/>
        </w:rPr>
        <w:t>Amadei</w:t>
      </w:r>
      <w:proofErr w:type="spellEnd"/>
      <w:r w:rsidRPr="00C62044">
        <w:rPr>
          <w:rFonts w:ascii="Verdana" w:eastAsia="Times New Roman" w:hAnsi="Verdana" w:cs="Times New Roman"/>
          <w:sz w:val="24"/>
          <w:szCs w:val="24"/>
        </w:rPr>
        <w:t xml:space="preserve">, Vitruvio e Leonardo, le geometrie platoniche nell’«uomo dalla bella forma» (De </w:t>
      </w:r>
      <w:proofErr w:type="spellStart"/>
      <w:r w:rsidRPr="00C62044">
        <w:rPr>
          <w:rFonts w:ascii="Verdana" w:eastAsia="Times New Roman" w:hAnsi="Verdana" w:cs="Times New Roman"/>
          <w:sz w:val="24"/>
          <w:szCs w:val="24"/>
        </w:rPr>
        <w:t>Architectura</w:t>
      </w:r>
      <w:proofErr w:type="spellEnd"/>
      <w:r w:rsidRPr="00C62044">
        <w:rPr>
          <w:rFonts w:ascii="Verdana" w:eastAsia="Times New Roman" w:hAnsi="Verdana" w:cs="Times New Roman"/>
          <w:sz w:val="24"/>
          <w:szCs w:val="24"/>
        </w:rPr>
        <w:t xml:space="preserve">, III, 1, 2-3), in A. </w:t>
      </w:r>
      <w:proofErr w:type="spellStart"/>
      <w:r w:rsidRPr="00C62044">
        <w:rPr>
          <w:rFonts w:ascii="Verdana" w:eastAsia="Times New Roman" w:hAnsi="Verdana" w:cs="Times New Roman"/>
          <w:sz w:val="24"/>
          <w:szCs w:val="24"/>
        </w:rPr>
        <w:t>Perissa</w:t>
      </w:r>
      <w:proofErr w:type="spellEnd"/>
      <w:r w:rsidRPr="00C62044">
        <w:rPr>
          <w:rFonts w:ascii="Verdana" w:eastAsia="Times New Roman" w:hAnsi="Verdana" w:cs="Times New Roman"/>
          <w:sz w:val="24"/>
          <w:szCs w:val="24"/>
        </w:rPr>
        <w:t xml:space="preserve"> </w:t>
      </w:r>
      <w:proofErr w:type="spellStart"/>
      <w:r w:rsidRPr="00C62044">
        <w:rPr>
          <w:rFonts w:ascii="Verdana" w:eastAsia="Times New Roman" w:hAnsi="Verdana" w:cs="Times New Roman"/>
          <w:sz w:val="24"/>
          <w:szCs w:val="24"/>
        </w:rPr>
        <w:t>Torrini</w:t>
      </w:r>
      <w:proofErr w:type="spellEnd"/>
      <w:r w:rsidRPr="00C62044">
        <w:rPr>
          <w:rFonts w:ascii="Verdana" w:eastAsia="Times New Roman" w:hAnsi="Verdana" w:cs="Times New Roman"/>
          <w:sz w:val="24"/>
          <w:szCs w:val="24"/>
        </w:rPr>
        <w:t xml:space="preserve"> (a cura di), Leonardo da Vinci. L’uomo universale, Giunti, Firenze 2013, pp. 31-39.</w:t>
      </w:r>
    </w:p>
    <w:p w14:paraId="65B08B3E" w14:textId="77777777" w:rsidR="00C62044" w:rsidRPr="00C62044" w:rsidRDefault="00C62044" w:rsidP="00C62044">
      <w:pPr>
        <w:spacing w:line="360" w:lineRule="auto"/>
        <w:jc w:val="both"/>
        <w:rPr>
          <w:rFonts w:ascii="Verdana" w:eastAsia="Times New Roman" w:hAnsi="Verdana" w:cs="Times New Roman"/>
          <w:sz w:val="24"/>
          <w:szCs w:val="24"/>
        </w:rPr>
      </w:pPr>
      <w:r w:rsidRPr="00C62044">
        <w:rPr>
          <w:rFonts w:ascii="Verdana" w:eastAsia="Times New Roman" w:hAnsi="Verdana" w:cs="Times New Roman"/>
          <w:sz w:val="24"/>
          <w:szCs w:val="24"/>
        </w:rPr>
        <w:t xml:space="preserve">Haydn, H., Il </w:t>
      </w:r>
      <w:proofErr w:type="spellStart"/>
      <w:r w:rsidRPr="00C62044">
        <w:rPr>
          <w:rFonts w:ascii="Verdana" w:eastAsia="Times New Roman" w:hAnsi="Verdana" w:cs="Times New Roman"/>
          <w:sz w:val="24"/>
          <w:szCs w:val="24"/>
        </w:rPr>
        <w:t>Controrinascimento</w:t>
      </w:r>
      <w:proofErr w:type="spellEnd"/>
      <w:r w:rsidRPr="00C62044">
        <w:rPr>
          <w:rFonts w:ascii="Verdana" w:eastAsia="Times New Roman" w:hAnsi="Verdana" w:cs="Times New Roman"/>
          <w:sz w:val="24"/>
          <w:szCs w:val="24"/>
        </w:rPr>
        <w:t>, il Mulino, Bologna 1967.</w:t>
      </w:r>
    </w:p>
    <w:p w14:paraId="40DABEC9" w14:textId="77777777" w:rsidR="00C62044" w:rsidRPr="00C62044" w:rsidRDefault="00C62044" w:rsidP="00C62044">
      <w:pPr>
        <w:spacing w:line="360" w:lineRule="auto"/>
        <w:jc w:val="both"/>
        <w:rPr>
          <w:rFonts w:ascii="Verdana" w:eastAsia="Times New Roman" w:hAnsi="Verdana" w:cs="Times New Roman"/>
          <w:sz w:val="24"/>
          <w:szCs w:val="24"/>
        </w:rPr>
      </w:pPr>
      <w:r w:rsidRPr="00C62044">
        <w:rPr>
          <w:rFonts w:ascii="Verdana" w:eastAsia="Times New Roman" w:hAnsi="Verdana" w:cs="Times New Roman"/>
          <w:sz w:val="24"/>
          <w:szCs w:val="24"/>
        </w:rPr>
        <w:t>Leonardo da Vinci, Leonardo prosatore. Scelta di scritti vinciani (</w:t>
      </w:r>
      <w:proofErr w:type="spellStart"/>
      <w:r w:rsidRPr="00C62044">
        <w:rPr>
          <w:rFonts w:ascii="Verdana" w:eastAsia="Times New Roman" w:hAnsi="Verdana" w:cs="Times New Roman"/>
          <w:sz w:val="24"/>
          <w:szCs w:val="24"/>
        </w:rPr>
        <w:t>Soc</w:t>
      </w:r>
      <w:proofErr w:type="spellEnd"/>
      <w:r w:rsidRPr="00C62044">
        <w:rPr>
          <w:rFonts w:ascii="Verdana" w:eastAsia="Times New Roman" w:hAnsi="Verdana" w:cs="Times New Roman"/>
          <w:sz w:val="24"/>
          <w:szCs w:val="24"/>
        </w:rPr>
        <w:t xml:space="preserve">. Dante Alighieri, </w:t>
      </w:r>
      <w:proofErr w:type="spellStart"/>
      <w:r w:rsidRPr="00C62044">
        <w:rPr>
          <w:rFonts w:ascii="Verdana" w:eastAsia="Times New Roman" w:hAnsi="Verdana" w:cs="Times New Roman"/>
          <w:sz w:val="24"/>
          <w:szCs w:val="24"/>
        </w:rPr>
        <w:t>Alberighi</w:t>
      </w:r>
      <w:proofErr w:type="spellEnd"/>
      <w:r w:rsidRPr="00C62044">
        <w:rPr>
          <w:rFonts w:ascii="Verdana" w:eastAsia="Times New Roman" w:hAnsi="Verdana" w:cs="Times New Roman"/>
          <w:sz w:val="24"/>
          <w:szCs w:val="24"/>
        </w:rPr>
        <w:t xml:space="preserve"> Segati ed., Milano-Roma-Napoli,1915).</w:t>
      </w:r>
    </w:p>
    <w:p w14:paraId="22D60920" w14:textId="77777777" w:rsidR="00C62044" w:rsidRPr="00C62044" w:rsidRDefault="00C62044" w:rsidP="00C62044">
      <w:pPr>
        <w:spacing w:line="360" w:lineRule="auto"/>
        <w:jc w:val="both"/>
        <w:rPr>
          <w:rFonts w:ascii="Verdana" w:eastAsia="Times New Roman" w:hAnsi="Verdana" w:cs="Times New Roman"/>
          <w:sz w:val="24"/>
          <w:szCs w:val="24"/>
        </w:rPr>
      </w:pPr>
      <w:r w:rsidRPr="00C62044">
        <w:rPr>
          <w:rFonts w:ascii="Verdana" w:eastAsia="Times New Roman" w:hAnsi="Verdana" w:cs="Times New Roman"/>
          <w:sz w:val="24"/>
          <w:szCs w:val="24"/>
        </w:rPr>
        <w:t xml:space="preserve">Marani, P. C., L’architettura fortificata negli studi di Leonardo da Vinci, con il catalogo completo dei disegni, </w:t>
      </w:r>
      <w:proofErr w:type="spellStart"/>
      <w:r w:rsidRPr="00C62044">
        <w:rPr>
          <w:rFonts w:ascii="Verdana" w:eastAsia="Times New Roman" w:hAnsi="Verdana" w:cs="Times New Roman"/>
          <w:sz w:val="24"/>
          <w:szCs w:val="24"/>
        </w:rPr>
        <w:t>Olschki</w:t>
      </w:r>
      <w:proofErr w:type="spellEnd"/>
      <w:r w:rsidRPr="00C62044">
        <w:rPr>
          <w:rFonts w:ascii="Verdana" w:eastAsia="Times New Roman" w:hAnsi="Verdana" w:cs="Times New Roman"/>
          <w:sz w:val="24"/>
          <w:szCs w:val="24"/>
        </w:rPr>
        <w:t>, Firenze 1984, p. 291, nota 18.</w:t>
      </w:r>
    </w:p>
    <w:p w14:paraId="0828DDE1" w14:textId="77777777" w:rsidR="00C62044" w:rsidRPr="00C62044" w:rsidRDefault="00C62044" w:rsidP="00C62044">
      <w:pPr>
        <w:spacing w:line="360" w:lineRule="auto"/>
        <w:jc w:val="both"/>
        <w:rPr>
          <w:rFonts w:ascii="Verdana" w:eastAsia="Times New Roman" w:hAnsi="Verdana" w:cs="Times New Roman"/>
          <w:sz w:val="24"/>
          <w:szCs w:val="24"/>
        </w:rPr>
      </w:pPr>
      <w:proofErr w:type="spellStart"/>
      <w:r w:rsidRPr="00C62044">
        <w:rPr>
          <w:rFonts w:ascii="Verdana" w:eastAsia="Times New Roman" w:hAnsi="Verdana" w:cs="Times New Roman"/>
          <w:sz w:val="24"/>
          <w:szCs w:val="24"/>
        </w:rPr>
        <w:t>Mazzacurati</w:t>
      </w:r>
      <w:proofErr w:type="spellEnd"/>
      <w:r w:rsidRPr="00C62044">
        <w:rPr>
          <w:rFonts w:ascii="Verdana" w:eastAsia="Times New Roman" w:hAnsi="Verdana" w:cs="Times New Roman"/>
          <w:sz w:val="24"/>
          <w:szCs w:val="24"/>
        </w:rPr>
        <w:t>, G., Conflitti di culture nel Cinquecento, Liguori, Napoli 1977.</w:t>
      </w:r>
    </w:p>
    <w:p w14:paraId="22D4BEA2" w14:textId="77777777" w:rsidR="00C62044" w:rsidRPr="00C62044" w:rsidRDefault="00C62044" w:rsidP="00C62044">
      <w:pPr>
        <w:spacing w:line="360" w:lineRule="auto"/>
        <w:jc w:val="both"/>
        <w:rPr>
          <w:rFonts w:ascii="Verdana" w:eastAsia="Times New Roman" w:hAnsi="Verdana" w:cs="Times New Roman"/>
          <w:sz w:val="24"/>
          <w:szCs w:val="24"/>
        </w:rPr>
      </w:pPr>
      <w:proofErr w:type="spellStart"/>
      <w:r w:rsidRPr="00C62044">
        <w:rPr>
          <w:rFonts w:ascii="Verdana" w:eastAsia="Times New Roman" w:hAnsi="Verdana" w:cs="Times New Roman"/>
          <w:sz w:val="24"/>
          <w:szCs w:val="24"/>
        </w:rPr>
        <w:t>Mazzacurati</w:t>
      </w:r>
      <w:proofErr w:type="spellEnd"/>
      <w:r w:rsidRPr="00C62044">
        <w:rPr>
          <w:rFonts w:ascii="Verdana" w:eastAsia="Times New Roman" w:hAnsi="Verdana" w:cs="Times New Roman"/>
          <w:sz w:val="24"/>
          <w:szCs w:val="24"/>
        </w:rPr>
        <w:t>, G., Il Rinascimento dei moderni: la crisi culturale del XVI secolo e la negazione delle origini, il Mulino, Bologna 1985.</w:t>
      </w:r>
    </w:p>
    <w:p w14:paraId="56A201AD" w14:textId="77777777" w:rsidR="00C62044" w:rsidRPr="00C62044" w:rsidRDefault="00C62044" w:rsidP="00C62044">
      <w:pPr>
        <w:spacing w:line="360" w:lineRule="auto"/>
        <w:jc w:val="both"/>
        <w:rPr>
          <w:rFonts w:ascii="Verdana" w:eastAsia="Times New Roman" w:hAnsi="Verdana" w:cs="Times New Roman"/>
          <w:sz w:val="24"/>
          <w:szCs w:val="24"/>
        </w:rPr>
      </w:pPr>
      <w:proofErr w:type="spellStart"/>
      <w:r w:rsidRPr="00C62044">
        <w:rPr>
          <w:rFonts w:ascii="Verdana" w:eastAsia="Times New Roman" w:hAnsi="Verdana" w:cs="Times New Roman"/>
          <w:sz w:val="24"/>
          <w:szCs w:val="24"/>
        </w:rPr>
        <w:t>Mazzacurati</w:t>
      </w:r>
      <w:proofErr w:type="spellEnd"/>
      <w:r w:rsidRPr="00C62044">
        <w:rPr>
          <w:rFonts w:ascii="Verdana" w:eastAsia="Times New Roman" w:hAnsi="Verdana" w:cs="Times New Roman"/>
          <w:sz w:val="24"/>
          <w:szCs w:val="24"/>
        </w:rPr>
        <w:t>, G., Misure del Classicismo Rinascimentale, Liguori, Napoli 1990.</w:t>
      </w:r>
    </w:p>
    <w:p w14:paraId="202725DD" w14:textId="77777777" w:rsidR="00C62044" w:rsidRPr="00C62044" w:rsidRDefault="00C62044" w:rsidP="00C62044">
      <w:pPr>
        <w:spacing w:line="360" w:lineRule="auto"/>
        <w:jc w:val="both"/>
        <w:rPr>
          <w:rFonts w:ascii="Verdana" w:eastAsia="Times New Roman" w:hAnsi="Verdana" w:cs="Times New Roman"/>
          <w:sz w:val="24"/>
          <w:szCs w:val="24"/>
        </w:rPr>
      </w:pPr>
      <w:r w:rsidRPr="00C62044">
        <w:rPr>
          <w:rFonts w:ascii="Verdana" w:eastAsia="Times New Roman" w:hAnsi="Verdana" w:cs="Times New Roman"/>
          <w:sz w:val="24"/>
          <w:szCs w:val="24"/>
        </w:rPr>
        <w:t xml:space="preserve">Orlandi, P. A., Abecedario pittorico nel quale compendiosamente sono descritte le patrie […], Bologna, Per Costantino </w:t>
      </w:r>
      <w:proofErr w:type="spellStart"/>
      <w:r w:rsidRPr="00C62044">
        <w:rPr>
          <w:rFonts w:ascii="Verdana" w:eastAsia="Times New Roman" w:hAnsi="Verdana" w:cs="Times New Roman"/>
          <w:sz w:val="24"/>
          <w:szCs w:val="24"/>
        </w:rPr>
        <w:t>Pisarri</w:t>
      </w:r>
      <w:proofErr w:type="spellEnd"/>
      <w:r w:rsidRPr="00C62044">
        <w:rPr>
          <w:rFonts w:ascii="Verdana" w:eastAsia="Times New Roman" w:hAnsi="Verdana" w:cs="Times New Roman"/>
          <w:sz w:val="24"/>
          <w:szCs w:val="24"/>
        </w:rPr>
        <w:t xml:space="preserve">, sotto le scuole, 1704, p. 399. </w:t>
      </w:r>
    </w:p>
    <w:p w14:paraId="18E444DD" w14:textId="77777777" w:rsidR="00C62044" w:rsidRPr="00C62044" w:rsidRDefault="00C62044" w:rsidP="00C62044">
      <w:pPr>
        <w:spacing w:line="360" w:lineRule="auto"/>
        <w:jc w:val="both"/>
        <w:rPr>
          <w:rFonts w:ascii="Verdana" w:eastAsia="Times New Roman" w:hAnsi="Verdana" w:cs="Times New Roman"/>
          <w:sz w:val="24"/>
          <w:szCs w:val="24"/>
        </w:rPr>
      </w:pPr>
      <w:r w:rsidRPr="00C62044">
        <w:rPr>
          <w:rFonts w:ascii="Verdana" w:eastAsia="Times New Roman" w:hAnsi="Verdana" w:cs="Times New Roman"/>
          <w:sz w:val="24"/>
          <w:szCs w:val="24"/>
        </w:rPr>
        <w:t xml:space="preserve">Pedretti, C., Leonardo. Le macchine, Giunti, Firenze, 1999. </w:t>
      </w:r>
    </w:p>
    <w:p w14:paraId="083280E5" w14:textId="77777777" w:rsidR="00C62044" w:rsidRPr="00C62044" w:rsidRDefault="00C62044" w:rsidP="00C62044">
      <w:pPr>
        <w:spacing w:line="360" w:lineRule="auto"/>
        <w:jc w:val="both"/>
        <w:rPr>
          <w:rFonts w:ascii="Verdana" w:eastAsia="Times New Roman" w:hAnsi="Verdana" w:cs="Times New Roman"/>
          <w:sz w:val="24"/>
          <w:szCs w:val="24"/>
        </w:rPr>
      </w:pPr>
      <w:r w:rsidRPr="00C62044">
        <w:rPr>
          <w:rFonts w:ascii="Verdana" w:eastAsia="Times New Roman" w:hAnsi="Verdana" w:cs="Times New Roman"/>
          <w:sz w:val="24"/>
          <w:szCs w:val="24"/>
        </w:rPr>
        <w:t>Pedretti, C., Il concetto di bellezza e utilità in Sant’Agostino e Leonardo, in «</w:t>
      </w:r>
      <w:proofErr w:type="spellStart"/>
      <w:r w:rsidRPr="00C62044">
        <w:rPr>
          <w:rFonts w:ascii="Verdana" w:eastAsia="Times New Roman" w:hAnsi="Verdana" w:cs="Times New Roman"/>
          <w:sz w:val="24"/>
          <w:szCs w:val="24"/>
        </w:rPr>
        <w:t>Achademia</w:t>
      </w:r>
      <w:proofErr w:type="spellEnd"/>
      <w:r w:rsidRPr="00C62044">
        <w:rPr>
          <w:rFonts w:ascii="Verdana" w:eastAsia="Times New Roman" w:hAnsi="Verdana" w:cs="Times New Roman"/>
          <w:sz w:val="24"/>
          <w:szCs w:val="24"/>
        </w:rPr>
        <w:t xml:space="preserve"> Leonardi Vinci», 5, 1992, pp. 107-111.</w:t>
      </w:r>
    </w:p>
    <w:p w14:paraId="148783EC" w14:textId="77777777" w:rsidR="00C62044" w:rsidRPr="00C62044" w:rsidRDefault="00C62044" w:rsidP="00C62044">
      <w:pPr>
        <w:spacing w:line="360" w:lineRule="auto"/>
        <w:jc w:val="both"/>
        <w:rPr>
          <w:rFonts w:ascii="Verdana" w:eastAsia="Times New Roman" w:hAnsi="Verdana" w:cs="Times New Roman"/>
          <w:sz w:val="24"/>
          <w:szCs w:val="24"/>
        </w:rPr>
      </w:pPr>
      <w:r w:rsidRPr="00C62044">
        <w:rPr>
          <w:rFonts w:ascii="Verdana" w:eastAsia="Times New Roman" w:hAnsi="Verdana" w:cs="Times New Roman"/>
          <w:sz w:val="24"/>
          <w:szCs w:val="24"/>
        </w:rPr>
        <w:t>Torrentino, Firenze, 1550, poi Torni, 1986, p. 548.</w:t>
      </w:r>
    </w:p>
    <w:p w14:paraId="2DDCA716" w14:textId="77777777" w:rsidR="00C62044" w:rsidRPr="00C62044" w:rsidRDefault="00C62044" w:rsidP="00C62044">
      <w:pPr>
        <w:spacing w:line="360" w:lineRule="auto"/>
        <w:jc w:val="both"/>
        <w:rPr>
          <w:rFonts w:ascii="Verdana" w:eastAsia="Times New Roman" w:hAnsi="Verdana" w:cs="Times New Roman"/>
          <w:sz w:val="24"/>
          <w:szCs w:val="24"/>
        </w:rPr>
      </w:pPr>
      <w:proofErr w:type="spellStart"/>
      <w:r w:rsidRPr="00C62044">
        <w:rPr>
          <w:rFonts w:ascii="Verdana" w:eastAsia="Times New Roman" w:hAnsi="Verdana" w:cs="Times New Roman"/>
          <w:sz w:val="24"/>
          <w:szCs w:val="24"/>
        </w:rPr>
        <w:t>Vasoli</w:t>
      </w:r>
      <w:proofErr w:type="spellEnd"/>
      <w:r w:rsidRPr="00C62044">
        <w:rPr>
          <w:rFonts w:ascii="Verdana" w:eastAsia="Times New Roman" w:hAnsi="Verdana" w:cs="Times New Roman"/>
          <w:sz w:val="24"/>
          <w:szCs w:val="24"/>
        </w:rPr>
        <w:t xml:space="preserve">, C., Il Rinascimento tra mito e realtà storica, in P. </w:t>
      </w:r>
      <w:proofErr w:type="spellStart"/>
      <w:r w:rsidRPr="00C62044">
        <w:rPr>
          <w:rFonts w:ascii="Verdana" w:eastAsia="Times New Roman" w:hAnsi="Verdana" w:cs="Times New Roman"/>
          <w:sz w:val="24"/>
          <w:szCs w:val="24"/>
        </w:rPr>
        <w:t>Pissavino</w:t>
      </w:r>
      <w:proofErr w:type="spellEnd"/>
      <w:r w:rsidRPr="00C62044">
        <w:rPr>
          <w:rFonts w:ascii="Verdana" w:eastAsia="Times New Roman" w:hAnsi="Verdana" w:cs="Times New Roman"/>
          <w:sz w:val="24"/>
          <w:szCs w:val="24"/>
        </w:rPr>
        <w:t xml:space="preserve"> (a cura di), Le filosofie del Rinascimento, Bruno Mondadori, Milano 2002, pp. 3-25.</w:t>
      </w:r>
    </w:p>
    <w:p w14:paraId="0502D33C" w14:textId="77777777" w:rsidR="00C62044" w:rsidRPr="00C62044" w:rsidRDefault="00C62044" w:rsidP="00C62044">
      <w:pPr>
        <w:spacing w:line="360" w:lineRule="auto"/>
        <w:jc w:val="both"/>
        <w:rPr>
          <w:rFonts w:ascii="Verdana" w:eastAsia="Times New Roman" w:hAnsi="Verdana" w:cs="Times New Roman"/>
          <w:sz w:val="24"/>
          <w:szCs w:val="24"/>
        </w:rPr>
      </w:pPr>
      <w:proofErr w:type="spellStart"/>
      <w:r w:rsidRPr="00C62044">
        <w:rPr>
          <w:rFonts w:ascii="Verdana" w:eastAsia="Times New Roman" w:hAnsi="Verdana" w:cs="Times New Roman"/>
          <w:sz w:val="24"/>
          <w:szCs w:val="24"/>
        </w:rPr>
        <w:lastRenderedPageBreak/>
        <w:t>Versiero</w:t>
      </w:r>
      <w:proofErr w:type="spellEnd"/>
      <w:r w:rsidRPr="00C62044">
        <w:rPr>
          <w:rFonts w:ascii="Verdana" w:eastAsia="Times New Roman" w:hAnsi="Verdana" w:cs="Times New Roman"/>
          <w:sz w:val="24"/>
          <w:szCs w:val="24"/>
        </w:rPr>
        <w:t>, M., Per un lessico politico di Leonardo da Vinci. I. La metafora organologica della città come “corpo politico”, in «</w:t>
      </w:r>
      <w:proofErr w:type="spellStart"/>
      <w:r w:rsidRPr="00C62044">
        <w:rPr>
          <w:rFonts w:ascii="Verdana" w:eastAsia="Times New Roman" w:hAnsi="Verdana" w:cs="Times New Roman"/>
          <w:sz w:val="24"/>
          <w:szCs w:val="24"/>
        </w:rPr>
        <w:t>Bruniana</w:t>
      </w:r>
      <w:proofErr w:type="spellEnd"/>
      <w:r w:rsidRPr="00C62044">
        <w:rPr>
          <w:rFonts w:ascii="Verdana" w:eastAsia="Times New Roman" w:hAnsi="Verdana" w:cs="Times New Roman"/>
          <w:sz w:val="24"/>
          <w:szCs w:val="24"/>
        </w:rPr>
        <w:t xml:space="preserve"> &amp; </w:t>
      </w:r>
      <w:proofErr w:type="spellStart"/>
      <w:r w:rsidRPr="00C62044">
        <w:rPr>
          <w:rFonts w:ascii="Verdana" w:eastAsia="Times New Roman" w:hAnsi="Verdana" w:cs="Times New Roman"/>
          <w:sz w:val="24"/>
          <w:szCs w:val="24"/>
        </w:rPr>
        <w:t>Campanelliana</w:t>
      </w:r>
      <w:proofErr w:type="spellEnd"/>
      <w:r w:rsidRPr="00C62044">
        <w:rPr>
          <w:rFonts w:ascii="Verdana" w:eastAsia="Times New Roman" w:hAnsi="Verdana" w:cs="Times New Roman"/>
          <w:sz w:val="24"/>
          <w:szCs w:val="24"/>
        </w:rPr>
        <w:t>», 13, 2, 2007, pp. 537-556.</w:t>
      </w:r>
    </w:p>
    <w:p w14:paraId="586E48E9" w14:textId="77777777" w:rsidR="00C62044" w:rsidRPr="00C62044" w:rsidRDefault="00C62044" w:rsidP="00C62044">
      <w:pPr>
        <w:spacing w:line="360" w:lineRule="auto"/>
        <w:jc w:val="both"/>
        <w:rPr>
          <w:rFonts w:ascii="Verdana" w:eastAsia="Times New Roman" w:hAnsi="Verdana" w:cs="Times New Roman"/>
          <w:sz w:val="24"/>
          <w:szCs w:val="24"/>
        </w:rPr>
      </w:pPr>
      <w:proofErr w:type="spellStart"/>
      <w:r w:rsidRPr="00C62044">
        <w:rPr>
          <w:rFonts w:ascii="Verdana" w:eastAsia="Times New Roman" w:hAnsi="Verdana" w:cs="Times New Roman"/>
          <w:sz w:val="24"/>
          <w:szCs w:val="24"/>
        </w:rPr>
        <w:t>Versiero</w:t>
      </w:r>
      <w:proofErr w:type="spellEnd"/>
      <w:r w:rsidRPr="00C62044">
        <w:rPr>
          <w:rFonts w:ascii="Verdana" w:eastAsia="Times New Roman" w:hAnsi="Verdana" w:cs="Times New Roman"/>
          <w:sz w:val="24"/>
          <w:szCs w:val="24"/>
        </w:rPr>
        <w:t xml:space="preserve">, M., </w:t>
      </w:r>
      <w:proofErr w:type="spellStart"/>
      <w:r w:rsidRPr="00C62044">
        <w:rPr>
          <w:rFonts w:ascii="Verdana" w:eastAsia="Times New Roman" w:hAnsi="Verdana" w:cs="Times New Roman"/>
          <w:sz w:val="24"/>
          <w:szCs w:val="24"/>
        </w:rPr>
        <w:t>Codex</w:t>
      </w:r>
      <w:proofErr w:type="spellEnd"/>
      <w:r w:rsidRPr="00C62044">
        <w:rPr>
          <w:rFonts w:ascii="Verdana" w:eastAsia="Times New Roman" w:hAnsi="Verdana" w:cs="Times New Roman"/>
          <w:sz w:val="24"/>
          <w:szCs w:val="24"/>
        </w:rPr>
        <w:t xml:space="preserve"> </w:t>
      </w:r>
      <w:proofErr w:type="spellStart"/>
      <w:r w:rsidRPr="00C62044">
        <w:rPr>
          <w:rFonts w:ascii="Verdana" w:eastAsia="Times New Roman" w:hAnsi="Verdana" w:cs="Times New Roman"/>
          <w:sz w:val="24"/>
          <w:szCs w:val="24"/>
        </w:rPr>
        <w:t>Atlanticus</w:t>
      </w:r>
      <w:proofErr w:type="spellEnd"/>
      <w:r w:rsidRPr="00C62044">
        <w:rPr>
          <w:rFonts w:ascii="Verdana" w:eastAsia="Times New Roman" w:hAnsi="Verdana" w:cs="Times New Roman"/>
          <w:sz w:val="24"/>
          <w:szCs w:val="24"/>
        </w:rPr>
        <w:t xml:space="preserve"> #04. Leonardo, la politica e le allegorie. Disegni di Leonardo dal Codice Atlantico, presentazione di P. C. Marani, De Agostini, Novara 2010, pp. 46-48, </w:t>
      </w:r>
      <w:proofErr w:type="spellStart"/>
      <w:r w:rsidRPr="00C62044">
        <w:rPr>
          <w:rFonts w:ascii="Verdana" w:eastAsia="Times New Roman" w:hAnsi="Verdana" w:cs="Times New Roman"/>
          <w:sz w:val="24"/>
          <w:szCs w:val="24"/>
        </w:rPr>
        <w:t>cat</w:t>
      </w:r>
      <w:proofErr w:type="spellEnd"/>
      <w:r w:rsidRPr="00C62044">
        <w:rPr>
          <w:rFonts w:ascii="Verdana" w:eastAsia="Times New Roman" w:hAnsi="Verdana" w:cs="Times New Roman"/>
          <w:sz w:val="24"/>
          <w:szCs w:val="24"/>
        </w:rPr>
        <w:t>. no. 4.</w:t>
      </w:r>
    </w:p>
    <w:p w14:paraId="055F701E" w14:textId="19F0019E" w:rsidR="00C62044" w:rsidRPr="00C62044" w:rsidRDefault="00C62044" w:rsidP="00C62044">
      <w:pPr>
        <w:spacing w:line="360" w:lineRule="auto"/>
        <w:jc w:val="both"/>
        <w:rPr>
          <w:rFonts w:ascii="Verdana" w:eastAsia="Times New Roman" w:hAnsi="Verdana" w:cs="Times New Roman"/>
          <w:sz w:val="24"/>
          <w:szCs w:val="24"/>
        </w:rPr>
      </w:pPr>
      <w:proofErr w:type="spellStart"/>
      <w:r w:rsidRPr="00C62044">
        <w:rPr>
          <w:rFonts w:ascii="Verdana" w:eastAsia="Times New Roman" w:hAnsi="Verdana" w:cs="Times New Roman"/>
          <w:sz w:val="24"/>
          <w:szCs w:val="24"/>
        </w:rPr>
        <w:t>Versiero</w:t>
      </w:r>
      <w:proofErr w:type="spellEnd"/>
      <w:r w:rsidRPr="00C62044">
        <w:rPr>
          <w:rFonts w:ascii="Verdana" w:eastAsia="Times New Roman" w:hAnsi="Verdana" w:cs="Times New Roman"/>
          <w:sz w:val="24"/>
          <w:szCs w:val="24"/>
        </w:rPr>
        <w:t xml:space="preserve">, M., «A similitudine de la farfalla </w:t>
      </w:r>
      <w:proofErr w:type="spellStart"/>
      <w:r w:rsidRPr="00C62044">
        <w:rPr>
          <w:rFonts w:ascii="Verdana" w:eastAsia="Times New Roman" w:hAnsi="Verdana" w:cs="Times New Roman"/>
          <w:sz w:val="24"/>
          <w:szCs w:val="24"/>
        </w:rPr>
        <w:t>a’</w:t>
      </w:r>
      <w:proofErr w:type="spellEnd"/>
      <w:r w:rsidRPr="00C62044">
        <w:rPr>
          <w:rFonts w:ascii="Verdana" w:eastAsia="Times New Roman" w:hAnsi="Verdana" w:cs="Times New Roman"/>
          <w:sz w:val="24"/>
          <w:szCs w:val="24"/>
        </w:rPr>
        <w:t xml:space="preserve"> lume». L’umanesimo scientifico di Leonardo da Vinci, in Umanesimo, storia, critica, attualità, a cura di Marco Russo, Le lettere, Firenze, 2015, pp. 83-102.</w:t>
      </w:r>
    </w:p>
    <w:sectPr w:rsidR="00C62044" w:rsidRPr="00C62044">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0A1635" w14:textId="77777777" w:rsidR="00643F87" w:rsidRDefault="00643F87">
      <w:pPr>
        <w:spacing w:after="0" w:line="240" w:lineRule="auto"/>
      </w:pPr>
      <w:r>
        <w:separator/>
      </w:r>
    </w:p>
  </w:endnote>
  <w:endnote w:type="continuationSeparator" w:id="0">
    <w:p w14:paraId="3E13DF69" w14:textId="77777777" w:rsidR="00643F87" w:rsidRDefault="00643F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8AEC0D" w14:textId="77777777" w:rsidR="00643F87" w:rsidRDefault="00643F87">
      <w:pPr>
        <w:spacing w:after="0" w:line="240" w:lineRule="auto"/>
      </w:pPr>
      <w:r>
        <w:separator/>
      </w:r>
    </w:p>
  </w:footnote>
  <w:footnote w:type="continuationSeparator" w:id="0">
    <w:p w14:paraId="5E16EE1D" w14:textId="77777777" w:rsidR="00643F87" w:rsidRDefault="00643F87">
      <w:pPr>
        <w:spacing w:after="0" w:line="240" w:lineRule="auto"/>
      </w:pPr>
      <w:r>
        <w:continuationSeparator/>
      </w:r>
    </w:p>
  </w:footnote>
  <w:footnote w:id="1">
    <w:p w14:paraId="0EBD9DEC" w14:textId="1C16CB22" w:rsidR="00CB7F51" w:rsidRPr="00CB7F51" w:rsidRDefault="00CB7F51" w:rsidP="00CB7F51">
      <w:pPr>
        <w:pStyle w:val="Testonotaapidipagina"/>
        <w:jc w:val="both"/>
        <w:rPr>
          <w:rFonts w:ascii="Verdana" w:hAnsi="Verdana"/>
        </w:rPr>
      </w:pPr>
      <w:r w:rsidRPr="00CB7F51">
        <w:rPr>
          <w:rStyle w:val="Rimandonotaapidipagina"/>
          <w:rFonts w:ascii="Verdana" w:hAnsi="Verdana"/>
        </w:rPr>
        <w:footnoteRef/>
      </w:r>
      <w:r w:rsidRPr="00CB7F51">
        <w:rPr>
          <w:rFonts w:ascii="Verdana" w:hAnsi="Verdana"/>
        </w:rPr>
        <w:t xml:space="preserve"> </w:t>
      </w:r>
      <w:r w:rsidRPr="00CB7F51">
        <w:rPr>
          <w:rFonts w:ascii="Verdana" w:hAnsi="Verdana"/>
          <w:b/>
          <w:bCs/>
        </w:rPr>
        <w:t>Prof.ssa Barbara Henry</w:t>
      </w:r>
      <w:r w:rsidRPr="00CB7F51">
        <w:rPr>
          <w:rFonts w:ascii="Verdana" w:hAnsi="Verdana"/>
        </w:rPr>
        <w:t xml:space="preserve"> - Professore ordinario di Filosofia politica presso la Scuola Superiore Sant'Anna (SSSUP), Pisa, Italia. Ha condotto lavori di ricerca presso le Università di Bochum, </w:t>
      </w:r>
      <w:proofErr w:type="spellStart"/>
      <w:r w:rsidRPr="00CB7F51">
        <w:rPr>
          <w:rFonts w:ascii="Verdana" w:hAnsi="Verdana"/>
        </w:rPr>
        <w:t>Saarland</w:t>
      </w:r>
      <w:proofErr w:type="spellEnd"/>
      <w:r w:rsidRPr="00CB7F51">
        <w:rPr>
          <w:rFonts w:ascii="Verdana" w:hAnsi="Verdana"/>
        </w:rPr>
        <w:t xml:space="preserve">, Erlangen-Nürnberg, Lucerna, l'Università </w:t>
      </w:r>
      <w:proofErr w:type="spellStart"/>
      <w:r w:rsidRPr="00CB7F51">
        <w:rPr>
          <w:rFonts w:ascii="Verdana" w:hAnsi="Verdana"/>
        </w:rPr>
        <w:t>Humboldt</w:t>
      </w:r>
      <w:proofErr w:type="spellEnd"/>
      <w:r w:rsidRPr="00CB7F51">
        <w:rPr>
          <w:rFonts w:ascii="Verdana" w:hAnsi="Verdana"/>
        </w:rPr>
        <w:t xml:space="preserve"> di Berlino e l'Università di Pechino; ha tenuto lezioni presso le Università di Francoforte sul Meno, Monaco di Baviera, Chongqing, Pechino. I suoi principali interessi di ricerca includono: Filosofia classica tedesca, </w:t>
      </w:r>
      <w:proofErr w:type="spellStart"/>
      <w:r w:rsidRPr="00CB7F51">
        <w:rPr>
          <w:rFonts w:ascii="Verdana" w:hAnsi="Verdana"/>
        </w:rPr>
        <w:t>neokantianismo</w:t>
      </w:r>
      <w:proofErr w:type="spellEnd"/>
      <w:r w:rsidRPr="00CB7F51">
        <w:rPr>
          <w:rFonts w:ascii="Verdana" w:hAnsi="Verdana"/>
        </w:rPr>
        <w:t xml:space="preserve">, giudizio politico ed ermeneutica, filosofia tedesca della tecnica e miti politici moderni, identità politica e culturale, tolleranza e interculturalità, studi ebraici sugli </w:t>
      </w:r>
      <w:proofErr w:type="spellStart"/>
      <w:r w:rsidRPr="00CB7F51">
        <w:rPr>
          <w:rFonts w:ascii="Verdana" w:hAnsi="Verdana"/>
        </w:rPr>
        <w:t>antrhopoidi</w:t>
      </w:r>
      <w:proofErr w:type="spellEnd"/>
      <w:r w:rsidRPr="00CB7F51">
        <w:rPr>
          <w:rFonts w:ascii="Verdana" w:hAnsi="Verdana"/>
        </w:rPr>
        <w:t xml:space="preserve"> artificiali, robotica, globalizzazione politica e culturale, questioni di genere, immaginario globale, filosofia della tecnologia. Ha pubblicato diversi lavori accademici, tra cui libri e articoli su E. </w:t>
      </w:r>
      <w:proofErr w:type="spellStart"/>
      <w:r w:rsidRPr="00CB7F51">
        <w:rPr>
          <w:rFonts w:ascii="Verdana" w:hAnsi="Verdana"/>
        </w:rPr>
        <w:t>Cassirer</w:t>
      </w:r>
      <w:proofErr w:type="spellEnd"/>
      <w:r w:rsidRPr="00CB7F51">
        <w:rPr>
          <w:rFonts w:ascii="Verdana" w:hAnsi="Verdana"/>
        </w:rPr>
        <w:t xml:space="preserve">, H. </w:t>
      </w:r>
      <w:proofErr w:type="spellStart"/>
      <w:r w:rsidRPr="00CB7F51">
        <w:rPr>
          <w:rFonts w:ascii="Verdana" w:hAnsi="Verdana"/>
        </w:rPr>
        <w:t>Arendt</w:t>
      </w:r>
      <w:proofErr w:type="spellEnd"/>
      <w:r w:rsidRPr="00CB7F51">
        <w:rPr>
          <w:rFonts w:ascii="Verdana" w:hAnsi="Verdana"/>
        </w:rPr>
        <w:t xml:space="preserve">, M. </w:t>
      </w:r>
      <w:proofErr w:type="spellStart"/>
      <w:r w:rsidRPr="00CB7F51">
        <w:rPr>
          <w:rFonts w:ascii="Verdana" w:hAnsi="Verdana"/>
        </w:rPr>
        <w:t>Heidegger</w:t>
      </w:r>
      <w:proofErr w:type="spellEnd"/>
      <w:r w:rsidRPr="00CB7F51">
        <w:rPr>
          <w:rFonts w:ascii="Verdana" w:hAnsi="Verdana"/>
        </w:rPr>
        <w:t xml:space="preserve">, E. </w:t>
      </w:r>
      <w:proofErr w:type="spellStart"/>
      <w:r w:rsidRPr="00CB7F51">
        <w:rPr>
          <w:rFonts w:ascii="Verdana" w:hAnsi="Verdana"/>
        </w:rPr>
        <w:t>Jünger</w:t>
      </w:r>
      <w:proofErr w:type="spellEnd"/>
      <w:r w:rsidRPr="00CB7F51">
        <w:rPr>
          <w:rFonts w:ascii="Verdana" w:hAnsi="Verdana"/>
        </w:rPr>
        <w:t xml:space="preserve">. È stata premiata con il "Premio Matteotti" (2006, 2021) e con borse di studio nazionali e internazionali. Inoltre, dal 1994/95 ad oggi, è stata docente di corsi avanzati di filosofia politica presso la SSSUP e supervisore di diversi ex allievi e dottorandi. Ha inoltre coordinato diverse unità di ricerca di progetti nazionali (MIUR, CNR, </w:t>
      </w:r>
      <w:proofErr w:type="spellStart"/>
      <w:r w:rsidRPr="00CB7F51">
        <w:rPr>
          <w:rFonts w:ascii="Verdana" w:hAnsi="Verdana"/>
        </w:rPr>
        <w:t>Prin</w:t>
      </w:r>
      <w:proofErr w:type="spellEnd"/>
      <w:r w:rsidRPr="00CB7F51">
        <w:rPr>
          <w:rFonts w:ascii="Verdana" w:hAnsi="Verdana"/>
        </w:rPr>
        <w:t xml:space="preserve">), e di progetti Jean </w:t>
      </w:r>
      <w:proofErr w:type="spellStart"/>
      <w:r w:rsidRPr="00CB7F51">
        <w:rPr>
          <w:rFonts w:ascii="Verdana" w:hAnsi="Verdana"/>
        </w:rPr>
        <w:t>Monnet</w:t>
      </w:r>
      <w:proofErr w:type="spellEnd"/>
      <w:r w:rsidRPr="00CB7F51">
        <w:rPr>
          <w:rFonts w:ascii="Verdana" w:hAnsi="Verdana"/>
        </w:rPr>
        <w:t>, facendo parte di progetti europei: tra gli altri Soul for Europe e attualmente HIDEANDOLA. È stata membro del comitato scientifico della rivista "</w:t>
      </w:r>
      <w:proofErr w:type="spellStart"/>
      <w:r w:rsidRPr="00CB7F51">
        <w:rPr>
          <w:rFonts w:ascii="Verdana" w:hAnsi="Verdana"/>
        </w:rPr>
        <w:t>European</w:t>
      </w:r>
      <w:proofErr w:type="spellEnd"/>
      <w:r w:rsidRPr="00CB7F51">
        <w:rPr>
          <w:rFonts w:ascii="Verdana" w:hAnsi="Verdana"/>
        </w:rPr>
        <w:t xml:space="preserve"> Journal of Social </w:t>
      </w:r>
      <w:proofErr w:type="spellStart"/>
      <w:r w:rsidRPr="00CB7F51">
        <w:rPr>
          <w:rFonts w:ascii="Verdana" w:hAnsi="Verdana"/>
        </w:rPr>
        <w:t>Theory</w:t>
      </w:r>
      <w:proofErr w:type="spellEnd"/>
      <w:r w:rsidRPr="00CB7F51">
        <w:rPr>
          <w:rFonts w:ascii="Verdana" w:hAnsi="Verdana"/>
        </w:rPr>
        <w:t>". È anche membro del Comitato esecutivo di "Politica e società", "Iride", RIFP. È stata il primo direttore italiano dell'Istituto Confucio di Pisa. Barbara Henry ha pubblicato più di 170 articoli accademici, tra cui 5 monograf</w:t>
      </w:r>
      <w:r w:rsidR="00EA236B">
        <w:rPr>
          <w:rFonts w:ascii="Verdana" w:hAnsi="Verdana"/>
        </w:rPr>
        <w:t>ie, 74 contributi a riviste e 71</w:t>
      </w:r>
      <w:r w:rsidRPr="00CB7F51">
        <w:rPr>
          <w:rFonts w:ascii="Verdana" w:hAnsi="Verdana"/>
        </w:rPr>
        <w:t xml:space="preserve"> articoli in volume. Alcune pubblicazioni recenti: Henry B., 2022, "</w:t>
      </w:r>
      <w:proofErr w:type="spellStart"/>
      <w:r w:rsidRPr="00CB7F51">
        <w:rPr>
          <w:rFonts w:ascii="Verdana" w:hAnsi="Verdana"/>
        </w:rPr>
        <w:t>Not</w:t>
      </w:r>
      <w:proofErr w:type="spellEnd"/>
      <w:r w:rsidRPr="00CB7F51">
        <w:rPr>
          <w:rFonts w:ascii="Verdana" w:hAnsi="Verdana"/>
        </w:rPr>
        <w:t xml:space="preserve"> Natural </w:t>
      </w:r>
      <w:proofErr w:type="spellStart"/>
      <w:r w:rsidRPr="00CB7F51">
        <w:rPr>
          <w:rFonts w:ascii="Verdana" w:hAnsi="Verdana"/>
        </w:rPr>
        <w:t>Born</w:t>
      </w:r>
      <w:proofErr w:type="spellEnd"/>
      <w:r w:rsidRPr="00CB7F51">
        <w:rPr>
          <w:rFonts w:ascii="Verdana" w:hAnsi="Verdana"/>
        </w:rPr>
        <w:t xml:space="preserve"> of woman A </w:t>
      </w:r>
      <w:proofErr w:type="spellStart"/>
      <w:r w:rsidRPr="00CB7F51">
        <w:rPr>
          <w:rFonts w:ascii="Verdana" w:hAnsi="Verdana"/>
        </w:rPr>
        <w:t>relevant</w:t>
      </w:r>
      <w:proofErr w:type="spellEnd"/>
      <w:r w:rsidRPr="00CB7F51">
        <w:rPr>
          <w:rFonts w:ascii="Verdana" w:hAnsi="Verdana"/>
        </w:rPr>
        <w:t xml:space="preserve"> </w:t>
      </w:r>
      <w:proofErr w:type="spellStart"/>
      <w:r w:rsidRPr="00CB7F51">
        <w:rPr>
          <w:rFonts w:ascii="Verdana" w:hAnsi="Verdana"/>
        </w:rPr>
        <w:t>liminal</w:t>
      </w:r>
      <w:proofErr w:type="spellEnd"/>
      <w:r w:rsidRPr="00CB7F51">
        <w:rPr>
          <w:rFonts w:ascii="Verdana" w:hAnsi="Verdana"/>
        </w:rPr>
        <w:t xml:space="preserve"> situation (</w:t>
      </w:r>
      <w:proofErr w:type="spellStart"/>
      <w:r w:rsidRPr="00CB7F51">
        <w:rPr>
          <w:rFonts w:ascii="Verdana" w:hAnsi="Verdana"/>
        </w:rPr>
        <w:t>Grenzsituation</w:t>
      </w:r>
      <w:proofErr w:type="spellEnd"/>
      <w:r w:rsidRPr="00CB7F51">
        <w:rPr>
          <w:rFonts w:ascii="Verdana" w:hAnsi="Verdana"/>
        </w:rPr>
        <w:t xml:space="preserve">) in the light of </w:t>
      </w:r>
      <w:proofErr w:type="spellStart"/>
      <w:r w:rsidRPr="00CB7F51">
        <w:rPr>
          <w:rFonts w:ascii="Verdana" w:hAnsi="Verdana"/>
        </w:rPr>
        <w:t>ancient</w:t>
      </w:r>
      <w:proofErr w:type="spellEnd"/>
      <w:r w:rsidRPr="00CB7F51">
        <w:rPr>
          <w:rFonts w:ascii="Verdana" w:hAnsi="Verdana"/>
        </w:rPr>
        <w:t xml:space="preserve"> and </w:t>
      </w:r>
      <w:proofErr w:type="spellStart"/>
      <w:r w:rsidRPr="00CB7F51">
        <w:rPr>
          <w:rFonts w:ascii="Verdana" w:hAnsi="Verdana"/>
        </w:rPr>
        <w:t>contemporary</w:t>
      </w:r>
      <w:proofErr w:type="spellEnd"/>
      <w:r w:rsidRPr="00CB7F51">
        <w:rPr>
          <w:rFonts w:ascii="Verdana" w:hAnsi="Verdana"/>
        </w:rPr>
        <w:t xml:space="preserve"> </w:t>
      </w:r>
      <w:proofErr w:type="spellStart"/>
      <w:r w:rsidRPr="00CB7F51">
        <w:rPr>
          <w:rFonts w:ascii="Verdana" w:hAnsi="Verdana"/>
        </w:rPr>
        <w:t>myths</w:t>
      </w:r>
      <w:proofErr w:type="spellEnd"/>
      <w:r w:rsidRPr="00CB7F51">
        <w:rPr>
          <w:rFonts w:ascii="Verdana" w:hAnsi="Verdana"/>
        </w:rPr>
        <w:t xml:space="preserve">", Studi </w:t>
      </w:r>
      <w:proofErr w:type="spellStart"/>
      <w:r w:rsidRPr="00CB7F51">
        <w:rPr>
          <w:rFonts w:ascii="Verdana" w:hAnsi="Verdana"/>
        </w:rPr>
        <w:t>Jaspersiani</w:t>
      </w:r>
      <w:proofErr w:type="spellEnd"/>
      <w:r w:rsidRPr="00CB7F51">
        <w:rPr>
          <w:rFonts w:ascii="Verdana" w:hAnsi="Verdana"/>
        </w:rPr>
        <w:t xml:space="preserve">, 2022, X, 1, 187-205; Henry B., 2022, Riflessioni sugli esseri </w:t>
      </w:r>
      <w:proofErr w:type="spellStart"/>
      <w:r w:rsidRPr="00CB7F51">
        <w:rPr>
          <w:rFonts w:ascii="Verdana" w:hAnsi="Verdana"/>
        </w:rPr>
        <w:t>golemici</w:t>
      </w:r>
      <w:proofErr w:type="spellEnd"/>
      <w:r w:rsidRPr="00CB7F51">
        <w:rPr>
          <w:rFonts w:ascii="Verdana" w:hAnsi="Verdana"/>
        </w:rPr>
        <w:t xml:space="preserve">. Un'occasione di confronto con </w:t>
      </w:r>
      <w:proofErr w:type="spellStart"/>
      <w:r w:rsidRPr="00CB7F51">
        <w:rPr>
          <w:rFonts w:ascii="Verdana" w:hAnsi="Verdana"/>
        </w:rPr>
        <w:t>El</w:t>
      </w:r>
      <w:proofErr w:type="spellEnd"/>
      <w:r w:rsidRPr="00CB7F51">
        <w:rPr>
          <w:rFonts w:ascii="Verdana" w:hAnsi="Verdana"/>
        </w:rPr>
        <w:t xml:space="preserve"> Golem di J.L. Borges, in D. Dottorini, A. </w:t>
      </w:r>
      <w:proofErr w:type="spellStart"/>
      <w:r w:rsidRPr="00CB7F51">
        <w:rPr>
          <w:rFonts w:ascii="Verdana" w:hAnsi="Verdana"/>
        </w:rPr>
        <w:t>Faccioli</w:t>
      </w:r>
      <w:proofErr w:type="spellEnd"/>
      <w:r w:rsidRPr="00CB7F51">
        <w:rPr>
          <w:rFonts w:ascii="Verdana" w:hAnsi="Verdana"/>
        </w:rPr>
        <w:t xml:space="preserve">, E. Leonardi (a cura di), Visioni, alfabeti, mondi. Borges e le immagini, ETS, Pisa, 167-188; </w:t>
      </w:r>
      <w:bookmarkStart w:id="1" w:name="_GoBack"/>
      <w:r w:rsidRPr="00CB7F51">
        <w:rPr>
          <w:rFonts w:ascii="Verdana" w:hAnsi="Verdana"/>
        </w:rPr>
        <w:t>Henry B., 2021, "</w:t>
      </w:r>
      <w:proofErr w:type="spellStart"/>
      <w:r w:rsidRPr="00CB7F51">
        <w:rPr>
          <w:rFonts w:ascii="Verdana" w:hAnsi="Verdana"/>
        </w:rPr>
        <w:t>Posthumanism</w:t>
      </w:r>
      <w:proofErr w:type="spellEnd"/>
      <w:r w:rsidRPr="00CB7F51">
        <w:rPr>
          <w:rFonts w:ascii="Verdana" w:hAnsi="Verdana"/>
        </w:rPr>
        <w:t xml:space="preserve"> versus </w:t>
      </w:r>
      <w:proofErr w:type="spellStart"/>
      <w:r w:rsidRPr="00CB7F51">
        <w:rPr>
          <w:rFonts w:ascii="Verdana" w:hAnsi="Verdana"/>
        </w:rPr>
        <w:t>Transhumanism</w:t>
      </w:r>
      <w:proofErr w:type="spellEnd"/>
      <w:r w:rsidRPr="00CB7F51">
        <w:rPr>
          <w:rFonts w:ascii="Verdana" w:hAnsi="Verdana"/>
        </w:rPr>
        <w:t xml:space="preserve"> in HEI. A Preliminary </w:t>
      </w:r>
      <w:proofErr w:type="spellStart"/>
      <w:r w:rsidRPr="00CB7F51">
        <w:rPr>
          <w:rFonts w:ascii="Verdana" w:hAnsi="Verdana"/>
        </w:rPr>
        <w:t>Disambiguation</w:t>
      </w:r>
      <w:proofErr w:type="spellEnd"/>
      <w:r w:rsidRPr="00CB7F51">
        <w:rPr>
          <w:rFonts w:ascii="Verdana" w:hAnsi="Verdana"/>
        </w:rPr>
        <w:t xml:space="preserve">", </w:t>
      </w:r>
      <w:proofErr w:type="spellStart"/>
      <w:r w:rsidRPr="00CB7F51">
        <w:rPr>
          <w:rFonts w:ascii="Verdana" w:hAnsi="Verdana"/>
        </w:rPr>
        <w:t>Derecho</w:t>
      </w:r>
      <w:proofErr w:type="spellEnd"/>
      <w:r w:rsidRPr="00CB7F51">
        <w:rPr>
          <w:rFonts w:ascii="Verdana" w:hAnsi="Verdana"/>
        </w:rPr>
        <w:t xml:space="preserve"> y </w:t>
      </w:r>
      <w:proofErr w:type="spellStart"/>
      <w:r w:rsidRPr="00CB7F51">
        <w:rPr>
          <w:rFonts w:ascii="Verdana" w:hAnsi="Verdana"/>
        </w:rPr>
        <w:t>nuevas</w:t>
      </w:r>
      <w:proofErr w:type="spellEnd"/>
      <w:r w:rsidRPr="00CB7F51">
        <w:rPr>
          <w:rFonts w:ascii="Verdana" w:hAnsi="Verdana"/>
        </w:rPr>
        <w:t xml:space="preserve"> </w:t>
      </w:r>
      <w:proofErr w:type="spellStart"/>
      <w:r w:rsidRPr="00CB7F51">
        <w:rPr>
          <w:rFonts w:ascii="Verdana" w:hAnsi="Verdana"/>
        </w:rPr>
        <w:t>technologìas</w:t>
      </w:r>
      <w:proofErr w:type="spellEnd"/>
      <w:r w:rsidRPr="00CB7F51">
        <w:rPr>
          <w:rFonts w:ascii="Verdana" w:hAnsi="Verdana"/>
        </w:rPr>
        <w:t xml:space="preserve">, </w:t>
      </w:r>
      <w:proofErr w:type="spellStart"/>
      <w:r w:rsidRPr="00CB7F51">
        <w:rPr>
          <w:rFonts w:ascii="Verdana" w:hAnsi="Verdana"/>
        </w:rPr>
        <w:t>Dobratinich</w:t>
      </w:r>
      <w:proofErr w:type="spellEnd"/>
      <w:r w:rsidRPr="00CB7F51">
        <w:rPr>
          <w:rFonts w:ascii="Verdana" w:hAnsi="Verdana"/>
        </w:rPr>
        <w:t xml:space="preserve"> G., A., (a cura di), Buenos Aires, Thomson Reuters La </w:t>
      </w:r>
      <w:proofErr w:type="spellStart"/>
      <w:r w:rsidRPr="00CB7F51">
        <w:rPr>
          <w:rFonts w:ascii="Verdana" w:hAnsi="Verdana"/>
        </w:rPr>
        <w:t>Ley</w:t>
      </w:r>
      <w:proofErr w:type="spellEnd"/>
      <w:r w:rsidRPr="00CB7F51">
        <w:rPr>
          <w:rFonts w:ascii="Verdana" w:hAnsi="Verdana"/>
        </w:rPr>
        <w:t>, pp. 16-26.</w:t>
      </w:r>
      <w:bookmarkEnd w:id="1"/>
      <w:r w:rsidRPr="00CB7F51">
        <w:rPr>
          <w:rFonts w:ascii="Verdana" w:hAnsi="Verdana"/>
        </w:rPr>
        <w:t xml:space="preserve"> [capitolo del libro] ISBN 978-987-03-4271-7; Henry B., 2021 "Un lessico sulla democrazia inclusiva: libertà, autodeterminazione, diritti. Per un lessico della Democrazia Inclusiva: libertà, autodeterminazione, diritti", Latin American Human </w:t>
      </w:r>
      <w:proofErr w:type="spellStart"/>
      <w:r w:rsidRPr="00CB7F51">
        <w:rPr>
          <w:rFonts w:ascii="Verdana" w:hAnsi="Verdana"/>
        </w:rPr>
        <w:t>Rights</w:t>
      </w:r>
      <w:proofErr w:type="spellEnd"/>
      <w:r w:rsidRPr="00CB7F51">
        <w:rPr>
          <w:rFonts w:ascii="Verdana" w:hAnsi="Verdana"/>
        </w:rPr>
        <w:t xml:space="preserve"> </w:t>
      </w:r>
      <w:proofErr w:type="spellStart"/>
      <w:r w:rsidRPr="00CB7F51">
        <w:rPr>
          <w:rFonts w:ascii="Verdana" w:hAnsi="Verdana"/>
        </w:rPr>
        <w:t>Studies</w:t>
      </w:r>
      <w:proofErr w:type="spellEnd"/>
      <w:r w:rsidRPr="00CB7F51">
        <w:rPr>
          <w:rFonts w:ascii="Verdana" w:hAnsi="Verdana"/>
        </w:rPr>
        <w:t>, vol. 1/2021 ISSN 2763-8162, pp. 1-24; Henry B., 2021 "Tempi della vita, tempi del lavoro all'epoca della rivoluzione cibernetico-digitale. Alcuni cenni diagnostici", Lavoro, Diritti, Europa, vol. XIII; ISSN 2611-3783, pp.1-12; Henry B., 2021 "</w:t>
      </w:r>
      <w:proofErr w:type="spellStart"/>
      <w:r w:rsidRPr="00CB7F51">
        <w:rPr>
          <w:rFonts w:ascii="Verdana" w:hAnsi="Verdana"/>
        </w:rPr>
        <w:t>Postumanesimo</w:t>
      </w:r>
      <w:proofErr w:type="spellEnd"/>
      <w:r w:rsidRPr="00CB7F51">
        <w:rPr>
          <w:rFonts w:ascii="Verdana" w:hAnsi="Verdana"/>
        </w:rPr>
        <w:t xml:space="preserve">, </w:t>
      </w:r>
      <w:proofErr w:type="spellStart"/>
      <w:r w:rsidRPr="00CB7F51">
        <w:rPr>
          <w:rFonts w:ascii="Verdana" w:hAnsi="Verdana"/>
        </w:rPr>
        <w:t>transumanesimo</w:t>
      </w:r>
      <w:proofErr w:type="spellEnd"/>
      <w:r w:rsidRPr="00CB7F51">
        <w:rPr>
          <w:rFonts w:ascii="Verdana" w:hAnsi="Verdana"/>
        </w:rPr>
        <w:t xml:space="preserve">, umanesimo digitale. Le ragioni di una necessaria chiarificazione concettuale", Annali del Centro Studi Filosofici di Gallarate, Voll. 1-2. "La natura e l'umano. Quale rapporto?" De </w:t>
      </w:r>
      <w:proofErr w:type="spellStart"/>
      <w:r w:rsidRPr="00CB7F51">
        <w:rPr>
          <w:rFonts w:ascii="Verdana" w:hAnsi="Verdana"/>
        </w:rPr>
        <w:t>Bellis</w:t>
      </w:r>
      <w:proofErr w:type="spellEnd"/>
      <w:r w:rsidRPr="00CB7F51">
        <w:rPr>
          <w:rFonts w:ascii="Verdana" w:hAnsi="Verdana"/>
        </w:rPr>
        <w:t xml:space="preserve"> E., (a cura di); ISSN: 2785-2105, pp. 47-64; Henry B., 2021, "Se lo Spirito soffia ormai anche sul non vivente... Una riflessione sulla condizione socio-tecnologica contemporanea e delle sue strutture potestative ed esoneranti", Iride, vol. XXXIV, ISSN: 1122-7893, pp. 478-486; Henry, B. (2020). "Cosa resta dell'umano nell'</w:t>
      </w:r>
      <w:proofErr w:type="spellStart"/>
      <w:r w:rsidRPr="00CB7F51">
        <w:rPr>
          <w:rFonts w:ascii="Verdana" w:hAnsi="Verdana"/>
        </w:rPr>
        <w:t>Antropocene</w:t>
      </w:r>
      <w:proofErr w:type="spellEnd"/>
      <w:r w:rsidRPr="00CB7F51">
        <w:rPr>
          <w:rFonts w:ascii="Verdana" w:hAnsi="Verdana"/>
        </w:rPr>
        <w:t xml:space="preserve">? Vivere tra 'natura' e 'cultura' nella condizione </w:t>
      </w:r>
      <w:proofErr w:type="spellStart"/>
      <w:r w:rsidRPr="00CB7F51">
        <w:rPr>
          <w:rFonts w:ascii="Verdana" w:hAnsi="Verdana"/>
        </w:rPr>
        <w:t>postumana</w:t>
      </w:r>
      <w:proofErr w:type="spellEnd"/>
      <w:r w:rsidRPr="00CB7F51">
        <w:rPr>
          <w:rFonts w:ascii="Verdana" w:hAnsi="Verdana"/>
        </w:rPr>
        <w:t>", Itinerari, 10(1), 157-172.</w:t>
      </w:r>
    </w:p>
  </w:footnote>
  <w:footnote w:id="2">
    <w:p w14:paraId="0000001A" w14:textId="77777777" w:rsidR="00922161" w:rsidRPr="00CB7F51" w:rsidRDefault="00282F4C" w:rsidP="00CB7F51">
      <w:pPr>
        <w:pBdr>
          <w:top w:val="nil"/>
          <w:left w:val="nil"/>
          <w:bottom w:val="nil"/>
          <w:right w:val="nil"/>
          <w:between w:val="nil"/>
        </w:pBdr>
        <w:spacing w:after="0"/>
        <w:ind w:firstLine="280"/>
        <w:jc w:val="both"/>
        <w:rPr>
          <w:rFonts w:ascii="Verdana" w:eastAsia="Garamond" w:hAnsi="Verdana" w:cs="Garamond"/>
          <w:color w:val="000000"/>
          <w:sz w:val="20"/>
          <w:szCs w:val="20"/>
        </w:rPr>
      </w:pPr>
      <w:r w:rsidRPr="00CB7F51">
        <w:rPr>
          <w:rFonts w:ascii="Verdana" w:hAnsi="Verdana"/>
          <w:sz w:val="20"/>
          <w:szCs w:val="20"/>
          <w:vertAlign w:val="superscript"/>
        </w:rPr>
        <w:footnoteRef/>
      </w:r>
      <w:r w:rsidRPr="00CB7F51">
        <w:rPr>
          <w:rFonts w:ascii="Verdana" w:eastAsia="Times New Roman" w:hAnsi="Verdana" w:cs="Times New Roman"/>
          <w:color w:val="000000"/>
          <w:sz w:val="20"/>
          <w:szCs w:val="20"/>
        </w:rPr>
        <w:t xml:space="preserve"> Leonardo viene qui considerato, in consonanza con quella parte della letteratura specialistica più incline a cogliere gli aspetti contraddittori, umbratili e ‘corruschi’ del pensiero e della mentalità del suo tempo-- quale esponente a cavallo fra due estremi, uno dei quali è il Rinascimento ‘canonico’, e l’altro è una costellazione culturale, interconnessa al primo, intrisa di passato (in cui antichità e cristianesimo di sono mescolati nel Medioevo), di retaggi metafisici e di pessimismo, come pure di intuizioni teoriche e pratiche rispetto alla scienza empirica e sperimentale.. </w:t>
      </w:r>
      <w:r w:rsidRPr="00CB7F51">
        <w:rPr>
          <w:rFonts w:ascii="Verdana" w:eastAsia="Garamond" w:hAnsi="Verdana" w:cs="Garamond"/>
          <w:color w:val="000000"/>
          <w:sz w:val="20"/>
          <w:szCs w:val="20"/>
        </w:rPr>
        <w:t xml:space="preserve">Cfr. in particolare G. </w:t>
      </w:r>
      <w:proofErr w:type="spellStart"/>
      <w:r w:rsidRPr="00CB7F51">
        <w:rPr>
          <w:rFonts w:ascii="Verdana" w:eastAsia="Garamond" w:hAnsi="Verdana" w:cs="Garamond"/>
          <w:color w:val="000000"/>
          <w:sz w:val="20"/>
          <w:szCs w:val="20"/>
        </w:rPr>
        <w:t>Mazzacurati</w:t>
      </w:r>
      <w:proofErr w:type="spellEnd"/>
      <w:r w:rsidRPr="00CB7F51">
        <w:rPr>
          <w:rFonts w:ascii="Verdana" w:eastAsia="Garamond" w:hAnsi="Verdana" w:cs="Garamond"/>
          <w:color w:val="000000"/>
          <w:sz w:val="20"/>
          <w:szCs w:val="20"/>
        </w:rPr>
        <w:t xml:space="preserve">, </w:t>
      </w:r>
      <w:r w:rsidRPr="00CB7F51">
        <w:rPr>
          <w:rFonts w:ascii="Verdana" w:eastAsia="Garamond" w:hAnsi="Verdana" w:cs="Garamond"/>
          <w:i/>
          <w:color w:val="000000"/>
          <w:sz w:val="20"/>
          <w:szCs w:val="20"/>
        </w:rPr>
        <w:t>Conflitti di culture nel Cinquecento</w:t>
      </w:r>
      <w:r w:rsidRPr="00CB7F51">
        <w:rPr>
          <w:rFonts w:ascii="Verdana" w:eastAsia="Garamond" w:hAnsi="Verdana" w:cs="Garamond"/>
          <w:color w:val="000000"/>
          <w:sz w:val="20"/>
          <w:szCs w:val="20"/>
        </w:rPr>
        <w:t xml:space="preserve">, Liguori, Napoli 1977; Id., </w:t>
      </w:r>
      <w:r w:rsidRPr="00CB7F51">
        <w:rPr>
          <w:rFonts w:ascii="Verdana" w:eastAsia="Garamond" w:hAnsi="Verdana" w:cs="Garamond"/>
          <w:i/>
          <w:color w:val="000000"/>
          <w:sz w:val="20"/>
          <w:szCs w:val="20"/>
        </w:rPr>
        <w:t>Il Rinascimento dei moderni</w:t>
      </w:r>
      <w:r w:rsidRPr="00CB7F51">
        <w:rPr>
          <w:rFonts w:ascii="Verdana" w:eastAsia="Garamond" w:hAnsi="Verdana" w:cs="Garamond"/>
          <w:color w:val="000000"/>
          <w:sz w:val="20"/>
          <w:szCs w:val="20"/>
        </w:rPr>
        <w:t xml:space="preserve">: </w:t>
      </w:r>
      <w:r w:rsidRPr="00CB7F51">
        <w:rPr>
          <w:rFonts w:ascii="Verdana" w:eastAsia="Garamond" w:hAnsi="Verdana" w:cs="Garamond"/>
          <w:i/>
          <w:color w:val="000000"/>
          <w:sz w:val="20"/>
          <w:szCs w:val="20"/>
        </w:rPr>
        <w:t>la crisi culturale del XVI secolo e la negazione delle origini</w:t>
      </w:r>
      <w:r w:rsidRPr="00CB7F51">
        <w:rPr>
          <w:rFonts w:ascii="Verdana" w:eastAsia="Garamond" w:hAnsi="Verdana" w:cs="Garamond"/>
          <w:color w:val="000000"/>
          <w:sz w:val="20"/>
          <w:szCs w:val="20"/>
        </w:rPr>
        <w:t xml:space="preserve">, il Mulino, Bologna 1985; Id., </w:t>
      </w:r>
      <w:r w:rsidRPr="00CB7F51">
        <w:rPr>
          <w:rFonts w:ascii="Verdana" w:eastAsia="Garamond" w:hAnsi="Verdana" w:cs="Garamond"/>
          <w:i/>
          <w:color w:val="000000"/>
          <w:sz w:val="20"/>
          <w:szCs w:val="20"/>
        </w:rPr>
        <w:t>Misure del Classicismo Rinascimentale</w:t>
      </w:r>
      <w:r w:rsidRPr="00CB7F51">
        <w:rPr>
          <w:rFonts w:ascii="Verdana" w:eastAsia="Garamond" w:hAnsi="Verdana" w:cs="Garamond"/>
          <w:color w:val="000000"/>
          <w:sz w:val="20"/>
          <w:szCs w:val="20"/>
        </w:rPr>
        <w:t xml:space="preserve">, Liguori, Napoli 1990. Si vedano, inoltre: M. Ciliberto, </w:t>
      </w:r>
      <w:r w:rsidRPr="00CB7F51">
        <w:rPr>
          <w:rFonts w:ascii="Verdana" w:eastAsia="Garamond" w:hAnsi="Verdana" w:cs="Garamond"/>
          <w:i/>
          <w:color w:val="000000"/>
          <w:sz w:val="20"/>
          <w:szCs w:val="20"/>
        </w:rPr>
        <w:t>Figure in chiaroscuro. Filosofia e storiografia nel Novecento</w:t>
      </w:r>
      <w:r w:rsidRPr="00CB7F51">
        <w:rPr>
          <w:rFonts w:ascii="Verdana" w:eastAsia="Garamond" w:hAnsi="Verdana" w:cs="Garamond"/>
          <w:color w:val="000000"/>
          <w:sz w:val="20"/>
          <w:szCs w:val="20"/>
        </w:rPr>
        <w:t xml:space="preserve">, Edizioni di Storia e Letteratura, Roma 2001, pp. 185-206; B. de Giovanni, </w:t>
      </w:r>
      <w:r w:rsidRPr="00CB7F51">
        <w:rPr>
          <w:rFonts w:ascii="Verdana" w:eastAsia="Garamond" w:hAnsi="Verdana" w:cs="Garamond"/>
          <w:i/>
          <w:color w:val="000000"/>
          <w:sz w:val="20"/>
          <w:szCs w:val="20"/>
        </w:rPr>
        <w:t>La filosofia e l’Europa moderna</w:t>
      </w:r>
      <w:r w:rsidRPr="00CB7F51">
        <w:rPr>
          <w:rFonts w:ascii="Verdana" w:eastAsia="Garamond" w:hAnsi="Verdana" w:cs="Garamond"/>
          <w:color w:val="000000"/>
          <w:sz w:val="20"/>
          <w:szCs w:val="20"/>
        </w:rPr>
        <w:t xml:space="preserve">, il Mulino, Bologna 2004, p. 73 ss.; e soprattutto C. </w:t>
      </w:r>
      <w:proofErr w:type="spellStart"/>
      <w:r w:rsidRPr="00CB7F51">
        <w:rPr>
          <w:rFonts w:ascii="Verdana" w:eastAsia="Garamond" w:hAnsi="Verdana" w:cs="Garamond"/>
          <w:color w:val="000000"/>
          <w:sz w:val="20"/>
          <w:szCs w:val="20"/>
        </w:rPr>
        <w:t>Vasoli</w:t>
      </w:r>
      <w:proofErr w:type="spellEnd"/>
      <w:r w:rsidRPr="00CB7F51">
        <w:rPr>
          <w:rFonts w:ascii="Verdana" w:eastAsia="Garamond" w:hAnsi="Verdana" w:cs="Garamond"/>
          <w:color w:val="000000"/>
          <w:sz w:val="20"/>
          <w:szCs w:val="20"/>
        </w:rPr>
        <w:t xml:space="preserve">, </w:t>
      </w:r>
      <w:r w:rsidRPr="00CB7F51">
        <w:rPr>
          <w:rFonts w:ascii="Verdana" w:eastAsia="Garamond" w:hAnsi="Verdana" w:cs="Garamond"/>
          <w:i/>
          <w:color w:val="000000"/>
          <w:sz w:val="20"/>
          <w:szCs w:val="20"/>
        </w:rPr>
        <w:t>Il Rinascimento tra mito e realtà storica</w:t>
      </w:r>
      <w:r w:rsidRPr="00CB7F51">
        <w:rPr>
          <w:rFonts w:ascii="Verdana" w:eastAsia="Garamond" w:hAnsi="Verdana" w:cs="Garamond"/>
          <w:color w:val="000000"/>
          <w:sz w:val="20"/>
          <w:szCs w:val="20"/>
        </w:rPr>
        <w:t xml:space="preserve">, in P. </w:t>
      </w:r>
      <w:proofErr w:type="spellStart"/>
      <w:r w:rsidRPr="00CB7F51">
        <w:rPr>
          <w:rFonts w:ascii="Verdana" w:eastAsia="Garamond" w:hAnsi="Verdana" w:cs="Garamond"/>
          <w:color w:val="000000"/>
          <w:sz w:val="20"/>
          <w:szCs w:val="20"/>
        </w:rPr>
        <w:t>Pissavino</w:t>
      </w:r>
      <w:proofErr w:type="spellEnd"/>
      <w:r w:rsidRPr="00CB7F51">
        <w:rPr>
          <w:rFonts w:ascii="Verdana" w:eastAsia="Garamond" w:hAnsi="Verdana" w:cs="Garamond"/>
          <w:color w:val="000000"/>
          <w:sz w:val="20"/>
          <w:szCs w:val="20"/>
        </w:rPr>
        <w:t xml:space="preserve"> (a cura di), </w:t>
      </w:r>
      <w:r w:rsidRPr="00CB7F51">
        <w:rPr>
          <w:rFonts w:ascii="Verdana" w:eastAsia="Garamond" w:hAnsi="Verdana" w:cs="Garamond"/>
          <w:i/>
          <w:color w:val="000000"/>
          <w:sz w:val="20"/>
          <w:szCs w:val="20"/>
        </w:rPr>
        <w:t>Le filosofie del Rinascimento</w:t>
      </w:r>
      <w:r w:rsidRPr="00CB7F51">
        <w:rPr>
          <w:rFonts w:ascii="Verdana" w:eastAsia="Garamond" w:hAnsi="Verdana" w:cs="Garamond"/>
          <w:color w:val="000000"/>
          <w:sz w:val="20"/>
          <w:szCs w:val="20"/>
        </w:rPr>
        <w:t xml:space="preserve">, Bruno Mondadori, Milano 2002, pp. 3-25, specificamente p. 18 ss. Studi medievistici novecenteschi (in particolare quelli di </w:t>
      </w:r>
      <w:proofErr w:type="spellStart"/>
      <w:r w:rsidRPr="00CB7F51">
        <w:rPr>
          <w:rFonts w:ascii="Verdana" w:eastAsia="Garamond" w:hAnsi="Verdana" w:cs="Garamond"/>
          <w:color w:val="000000"/>
          <w:sz w:val="20"/>
          <w:szCs w:val="20"/>
        </w:rPr>
        <w:t>Huizinga</w:t>
      </w:r>
      <w:proofErr w:type="spellEnd"/>
      <w:r w:rsidRPr="00CB7F51">
        <w:rPr>
          <w:rFonts w:ascii="Verdana" w:eastAsia="Garamond" w:hAnsi="Verdana" w:cs="Garamond"/>
          <w:color w:val="000000"/>
          <w:sz w:val="20"/>
          <w:szCs w:val="20"/>
        </w:rPr>
        <w:t xml:space="preserve">) ci hanno permesso di gettare sul Rinascimento uno sguardo più consapevole dei fattori di continuità, piuttosto che delle fratture, con alcune delle espressioni più magico-mistiche del Medioevo, in modo da permetterci di superare il paradigma storiografico ottocentesco, a suo tempo fissato dal </w:t>
      </w:r>
      <w:proofErr w:type="spellStart"/>
      <w:r w:rsidRPr="00CB7F51">
        <w:rPr>
          <w:rFonts w:ascii="Verdana" w:eastAsia="Garamond" w:hAnsi="Verdana" w:cs="Garamond"/>
          <w:color w:val="000000"/>
          <w:sz w:val="20"/>
          <w:szCs w:val="20"/>
        </w:rPr>
        <w:t>Burckhardt</w:t>
      </w:r>
      <w:proofErr w:type="spellEnd"/>
      <w:r w:rsidRPr="00CB7F51">
        <w:rPr>
          <w:rFonts w:ascii="Verdana" w:eastAsia="Garamond" w:hAnsi="Verdana" w:cs="Garamond"/>
          <w:color w:val="000000"/>
          <w:sz w:val="20"/>
          <w:szCs w:val="20"/>
        </w:rPr>
        <w:t xml:space="preserve"> e fortemente unilaterale. Resta sempre attualissima l’opera, concepita nella cerchia amburghese di </w:t>
      </w:r>
      <w:proofErr w:type="spellStart"/>
      <w:r w:rsidRPr="00CB7F51">
        <w:rPr>
          <w:rFonts w:ascii="Verdana" w:eastAsia="Garamond" w:hAnsi="Verdana" w:cs="Garamond"/>
          <w:color w:val="000000"/>
          <w:sz w:val="20"/>
          <w:szCs w:val="20"/>
        </w:rPr>
        <w:t>Aby</w:t>
      </w:r>
      <w:proofErr w:type="spellEnd"/>
      <w:r w:rsidRPr="00CB7F51">
        <w:rPr>
          <w:rFonts w:ascii="Verdana" w:eastAsia="Garamond" w:hAnsi="Verdana" w:cs="Garamond"/>
          <w:color w:val="000000"/>
          <w:sz w:val="20"/>
          <w:szCs w:val="20"/>
        </w:rPr>
        <w:t xml:space="preserve"> </w:t>
      </w:r>
      <w:proofErr w:type="spellStart"/>
      <w:r w:rsidRPr="00CB7F51">
        <w:rPr>
          <w:rFonts w:ascii="Verdana" w:eastAsia="Garamond" w:hAnsi="Verdana" w:cs="Garamond"/>
          <w:color w:val="000000"/>
          <w:sz w:val="20"/>
          <w:szCs w:val="20"/>
        </w:rPr>
        <w:t>Warburg</w:t>
      </w:r>
      <w:proofErr w:type="spellEnd"/>
      <w:r w:rsidRPr="00CB7F51">
        <w:rPr>
          <w:rFonts w:ascii="Verdana" w:eastAsia="Garamond" w:hAnsi="Verdana" w:cs="Garamond"/>
          <w:color w:val="000000"/>
          <w:sz w:val="20"/>
          <w:szCs w:val="20"/>
        </w:rPr>
        <w:t xml:space="preserve">, di E. </w:t>
      </w:r>
      <w:proofErr w:type="spellStart"/>
      <w:r w:rsidRPr="00CB7F51">
        <w:rPr>
          <w:rFonts w:ascii="Verdana" w:eastAsia="Garamond" w:hAnsi="Verdana" w:cs="Garamond"/>
          <w:color w:val="000000"/>
          <w:sz w:val="20"/>
          <w:szCs w:val="20"/>
        </w:rPr>
        <w:t>Cassirer</w:t>
      </w:r>
      <w:proofErr w:type="spellEnd"/>
      <w:r w:rsidRPr="00CB7F51">
        <w:rPr>
          <w:rFonts w:ascii="Verdana" w:eastAsia="Garamond" w:hAnsi="Verdana" w:cs="Garamond"/>
          <w:color w:val="000000"/>
          <w:sz w:val="20"/>
          <w:szCs w:val="20"/>
        </w:rPr>
        <w:t xml:space="preserve">, </w:t>
      </w:r>
      <w:proofErr w:type="spellStart"/>
      <w:r w:rsidRPr="00CB7F51">
        <w:rPr>
          <w:rFonts w:ascii="Verdana" w:eastAsia="Garamond" w:hAnsi="Verdana" w:cs="Garamond"/>
          <w:i/>
          <w:color w:val="000000"/>
          <w:sz w:val="20"/>
          <w:szCs w:val="20"/>
        </w:rPr>
        <w:t>Individuum</w:t>
      </w:r>
      <w:proofErr w:type="spellEnd"/>
      <w:r w:rsidRPr="00CB7F51">
        <w:rPr>
          <w:rFonts w:ascii="Verdana" w:eastAsia="Garamond" w:hAnsi="Verdana" w:cs="Garamond"/>
          <w:i/>
          <w:color w:val="000000"/>
          <w:sz w:val="20"/>
          <w:szCs w:val="20"/>
        </w:rPr>
        <w:t xml:space="preserve"> und </w:t>
      </w:r>
      <w:proofErr w:type="spellStart"/>
      <w:r w:rsidRPr="00CB7F51">
        <w:rPr>
          <w:rFonts w:ascii="Verdana" w:eastAsia="Garamond" w:hAnsi="Verdana" w:cs="Garamond"/>
          <w:i/>
          <w:color w:val="000000"/>
          <w:sz w:val="20"/>
          <w:szCs w:val="20"/>
        </w:rPr>
        <w:t>Kosmos</w:t>
      </w:r>
      <w:proofErr w:type="spellEnd"/>
      <w:r w:rsidRPr="00CB7F51">
        <w:rPr>
          <w:rFonts w:ascii="Verdana" w:eastAsia="Garamond" w:hAnsi="Verdana" w:cs="Garamond"/>
          <w:i/>
          <w:color w:val="000000"/>
          <w:sz w:val="20"/>
          <w:szCs w:val="20"/>
        </w:rPr>
        <w:t xml:space="preserve"> in </w:t>
      </w:r>
      <w:proofErr w:type="spellStart"/>
      <w:r w:rsidRPr="00CB7F51">
        <w:rPr>
          <w:rFonts w:ascii="Verdana" w:eastAsia="Garamond" w:hAnsi="Verdana" w:cs="Garamond"/>
          <w:i/>
          <w:color w:val="000000"/>
          <w:sz w:val="20"/>
          <w:szCs w:val="20"/>
        </w:rPr>
        <w:t>der</w:t>
      </w:r>
      <w:proofErr w:type="spellEnd"/>
      <w:r w:rsidRPr="00CB7F51">
        <w:rPr>
          <w:rFonts w:ascii="Verdana" w:eastAsia="Garamond" w:hAnsi="Verdana" w:cs="Garamond"/>
          <w:i/>
          <w:color w:val="000000"/>
          <w:sz w:val="20"/>
          <w:szCs w:val="20"/>
        </w:rPr>
        <w:t xml:space="preserve"> </w:t>
      </w:r>
      <w:proofErr w:type="spellStart"/>
      <w:r w:rsidRPr="00CB7F51">
        <w:rPr>
          <w:rFonts w:ascii="Verdana" w:eastAsia="Garamond" w:hAnsi="Verdana" w:cs="Garamond"/>
          <w:i/>
          <w:color w:val="000000"/>
          <w:sz w:val="20"/>
          <w:szCs w:val="20"/>
        </w:rPr>
        <w:t>Philosophie</w:t>
      </w:r>
      <w:proofErr w:type="spellEnd"/>
      <w:r w:rsidRPr="00CB7F51">
        <w:rPr>
          <w:rFonts w:ascii="Verdana" w:eastAsia="Garamond" w:hAnsi="Verdana" w:cs="Garamond"/>
          <w:i/>
          <w:color w:val="000000"/>
          <w:sz w:val="20"/>
          <w:szCs w:val="20"/>
        </w:rPr>
        <w:t xml:space="preserve"> </w:t>
      </w:r>
      <w:proofErr w:type="spellStart"/>
      <w:r w:rsidRPr="00CB7F51">
        <w:rPr>
          <w:rFonts w:ascii="Verdana" w:eastAsia="Garamond" w:hAnsi="Verdana" w:cs="Garamond"/>
          <w:i/>
          <w:color w:val="000000"/>
          <w:sz w:val="20"/>
          <w:szCs w:val="20"/>
        </w:rPr>
        <w:t>der</w:t>
      </w:r>
      <w:proofErr w:type="spellEnd"/>
      <w:r w:rsidRPr="00CB7F51">
        <w:rPr>
          <w:rFonts w:ascii="Verdana" w:eastAsia="Garamond" w:hAnsi="Verdana" w:cs="Garamond"/>
          <w:i/>
          <w:color w:val="000000"/>
          <w:sz w:val="20"/>
          <w:szCs w:val="20"/>
        </w:rPr>
        <w:t xml:space="preserve"> </w:t>
      </w:r>
      <w:proofErr w:type="spellStart"/>
      <w:r w:rsidRPr="00CB7F51">
        <w:rPr>
          <w:rFonts w:ascii="Verdana" w:eastAsia="Garamond" w:hAnsi="Verdana" w:cs="Garamond"/>
          <w:i/>
          <w:color w:val="000000"/>
          <w:sz w:val="20"/>
          <w:szCs w:val="20"/>
        </w:rPr>
        <w:t>Renaissance</w:t>
      </w:r>
      <w:proofErr w:type="spellEnd"/>
      <w:r w:rsidRPr="00CB7F51">
        <w:rPr>
          <w:rFonts w:ascii="Verdana" w:eastAsia="Garamond" w:hAnsi="Verdana" w:cs="Garamond"/>
          <w:i/>
          <w:color w:val="000000"/>
          <w:sz w:val="20"/>
          <w:szCs w:val="20"/>
        </w:rPr>
        <w:t xml:space="preserve">, </w:t>
      </w:r>
      <w:proofErr w:type="spellStart"/>
      <w:r w:rsidRPr="00CB7F51">
        <w:rPr>
          <w:rFonts w:ascii="Verdana" w:eastAsia="Garamond" w:hAnsi="Verdana" w:cs="Garamond"/>
          <w:color w:val="000000"/>
          <w:sz w:val="20"/>
          <w:szCs w:val="20"/>
        </w:rPr>
        <w:t>Meiner</w:t>
      </w:r>
      <w:proofErr w:type="spellEnd"/>
      <w:r w:rsidRPr="00CB7F51">
        <w:rPr>
          <w:rFonts w:ascii="Verdana" w:eastAsia="Garamond" w:hAnsi="Verdana" w:cs="Garamond"/>
          <w:color w:val="000000"/>
          <w:sz w:val="20"/>
          <w:szCs w:val="20"/>
        </w:rPr>
        <w:t xml:space="preserve"> </w:t>
      </w:r>
      <w:proofErr w:type="spellStart"/>
      <w:r w:rsidRPr="00CB7F51">
        <w:rPr>
          <w:rFonts w:ascii="Verdana" w:eastAsia="Garamond" w:hAnsi="Verdana" w:cs="Garamond"/>
          <w:color w:val="000000"/>
          <w:sz w:val="20"/>
          <w:szCs w:val="20"/>
        </w:rPr>
        <w:t>Verlag</w:t>
      </w:r>
      <w:proofErr w:type="spellEnd"/>
      <w:r w:rsidRPr="00CB7F51">
        <w:rPr>
          <w:rFonts w:ascii="Verdana" w:eastAsia="Garamond" w:hAnsi="Verdana" w:cs="Garamond"/>
          <w:color w:val="000000"/>
          <w:sz w:val="20"/>
          <w:szCs w:val="20"/>
        </w:rPr>
        <w:t xml:space="preserve">, 2013 (originale, 1927), a cura di G. Targia, F. Plaga, C. </w:t>
      </w:r>
      <w:proofErr w:type="spellStart"/>
      <w:r w:rsidRPr="00CB7F51">
        <w:rPr>
          <w:rFonts w:ascii="Verdana" w:eastAsia="Garamond" w:hAnsi="Verdana" w:cs="Garamond"/>
          <w:color w:val="000000"/>
          <w:sz w:val="20"/>
          <w:szCs w:val="20"/>
        </w:rPr>
        <w:t>Rosenkranz</w:t>
      </w:r>
      <w:proofErr w:type="spellEnd"/>
      <w:r w:rsidRPr="00CB7F51">
        <w:rPr>
          <w:rFonts w:ascii="Verdana" w:eastAsia="Garamond" w:hAnsi="Verdana" w:cs="Garamond"/>
          <w:color w:val="000000"/>
          <w:sz w:val="20"/>
          <w:szCs w:val="20"/>
        </w:rPr>
        <w:t xml:space="preserve">, M. </w:t>
      </w:r>
      <w:proofErr w:type="spellStart"/>
      <w:r w:rsidRPr="00CB7F51">
        <w:rPr>
          <w:rFonts w:ascii="Verdana" w:eastAsia="Garamond" w:hAnsi="Verdana" w:cs="Garamond"/>
          <w:color w:val="000000"/>
          <w:sz w:val="20"/>
          <w:szCs w:val="20"/>
        </w:rPr>
        <w:t>Ghelardi</w:t>
      </w:r>
      <w:proofErr w:type="spellEnd"/>
      <w:r w:rsidRPr="00CB7F51">
        <w:rPr>
          <w:rFonts w:ascii="Verdana" w:eastAsia="Garamond" w:hAnsi="Verdana" w:cs="Garamond"/>
          <w:color w:val="000000"/>
          <w:sz w:val="20"/>
          <w:szCs w:val="20"/>
        </w:rPr>
        <w:t xml:space="preserve">, </w:t>
      </w:r>
      <w:r w:rsidRPr="00CB7F51">
        <w:rPr>
          <w:rFonts w:ascii="Verdana" w:eastAsia="Garamond" w:hAnsi="Verdana" w:cs="Garamond"/>
          <w:i/>
          <w:color w:val="000000"/>
          <w:sz w:val="20"/>
          <w:szCs w:val="20"/>
        </w:rPr>
        <w:t>Individuo e cosmo nella filosofia del Rinascimento</w:t>
      </w:r>
      <w:r w:rsidRPr="00CB7F51">
        <w:rPr>
          <w:rFonts w:ascii="Verdana" w:eastAsia="Garamond" w:hAnsi="Verdana" w:cs="Garamond"/>
          <w:color w:val="000000"/>
          <w:sz w:val="20"/>
          <w:szCs w:val="20"/>
        </w:rPr>
        <w:t xml:space="preserve">, Bollati </w:t>
      </w:r>
      <w:proofErr w:type="spellStart"/>
      <w:r w:rsidRPr="00CB7F51">
        <w:rPr>
          <w:rFonts w:ascii="Verdana" w:eastAsia="Garamond" w:hAnsi="Verdana" w:cs="Garamond"/>
          <w:color w:val="000000"/>
          <w:sz w:val="20"/>
          <w:szCs w:val="20"/>
        </w:rPr>
        <w:t>Boringhieri</w:t>
      </w:r>
      <w:proofErr w:type="spellEnd"/>
      <w:r w:rsidRPr="00CB7F51">
        <w:rPr>
          <w:rFonts w:ascii="Verdana" w:eastAsia="Garamond" w:hAnsi="Verdana" w:cs="Garamond"/>
          <w:color w:val="000000"/>
          <w:sz w:val="20"/>
          <w:szCs w:val="20"/>
        </w:rPr>
        <w:t xml:space="preserve">, 2012. </w:t>
      </w:r>
      <w:proofErr w:type="spellStart"/>
      <w:r w:rsidRPr="00CB7F51">
        <w:rPr>
          <w:rFonts w:ascii="Verdana" w:eastAsia="Garamond" w:hAnsi="Verdana" w:cs="Garamond"/>
          <w:color w:val="000000"/>
          <w:sz w:val="20"/>
          <w:szCs w:val="20"/>
        </w:rPr>
        <w:t>Cassirer</w:t>
      </w:r>
      <w:proofErr w:type="spellEnd"/>
      <w:r w:rsidRPr="00CB7F51">
        <w:rPr>
          <w:rFonts w:ascii="Verdana" w:eastAsia="Garamond" w:hAnsi="Verdana" w:cs="Garamond"/>
          <w:color w:val="000000"/>
          <w:sz w:val="20"/>
          <w:szCs w:val="20"/>
        </w:rPr>
        <w:t xml:space="preserve"> mostra quanto sia fondata una lettura attenta agli elementi di lunga durata e agli scarti, impercettibili, eppur capaci di far cambiare la proporzione fra elementi magici e </w:t>
      </w:r>
      <w:proofErr w:type="spellStart"/>
      <w:r w:rsidRPr="00CB7F51">
        <w:rPr>
          <w:rFonts w:ascii="Verdana" w:eastAsia="Garamond" w:hAnsi="Verdana" w:cs="Garamond"/>
          <w:color w:val="000000"/>
          <w:sz w:val="20"/>
          <w:szCs w:val="20"/>
        </w:rPr>
        <w:t>cabbalistici</w:t>
      </w:r>
      <w:proofErr w:type="spellEnd"/>
      <w:r w:rsidRPr="00CB7F51">
        <w:rPr>
          <w:rFonts w:ascii="Verdana" w:eastAsia="Garamond" w:hAnsi="Verdana" w:cs="Garamond"/>
          <w:color w:val="000000"/>
          <w:sz w:val="20"/>
          <w:szCs w:val="20"/>
        </w:rPr>
        <w:t xml:space="preserve"> a favore di quelli </w:t>
      </w:r>
      <w:proofErr w:type="spellStart"/>
      <w:r w:rsidRPr="00CB7F51">
        <w:rPr>
          <w:rFonts w:ascii="Verdana" w:eastAsia="Garamond" w:hAnsi="Verdana" w:cs="Garamond"/>
          <w:color w:val="000000"/>
          <w:sz w:val="20"/>
          <w:szCs w:val="20"/>
        </w:rPr>
        <w:t>protoscientifici</w:t>
      </w:r>
      <w:proofErr w:type="spellEnd"/>
      <w:r w:rsidRPr="00CB7F51">
        <w:rPr>
          <w:rFonts w:ascii="Verdana" w:eastAsia="Garamond" w:hAnsi="Verdana" w:cs="Garamond"/>
          <w:color w:val="000000"/>
          <w:sz w:val="20"/>
          <w:szCs w:val="20"/>
        </w:rPr>
        <w:t xml:space="preserve"> e sperimentali.</w:t>
      </w:r>
    </w:p>
    <w:p w14:paraId="0000001B" w14:textId="77777777" w:rsidR="00922161" w:rsidRPr="00CB7F51" w:rsidRDefault="00922161" w:rsidP="00CB7F51">
      <w:pPr>
        <w:pBdr>
          <w:top w:val="nil"/>
          <w:left w:val="nil"/>
          <w:bottom w:val="nil"/>
          <w:right w:val="nil"/>
          <w:between w:val="nil"/>
        </w:pBdr>
        <w:spacing w:after="0" w:line="240" w:lineRule="auto"/>
        <w:jc w:val="both"/>
        <w:rPr>
          <w:rFonts w:ascii="Verdana" w:eastAsia="Times New Roman" w:hAnsi="Verdana" w:cs="Times New Roman"/>
          <w:color w:val="000000"/>
          <w:sz w:val="20"/>
          <w:szCs w:val="20"/>
        </w:rPr>
      </w:pPr>
    </w:p>
  </w:footnote>
  <w:footnote w:id="3">
    <w:p w14:paraId="0000001C" w14:textId="77777777" w:rsidR="00922161" w:rsidRPr="00CB7F51" w:rsidRDefault="00282F4C" w:rsidP="00CB7F51">
      <w:pPr>
        <w:pBdr>
          <w:top w:val="nil"/>
          <w:left w:val="nil"/>
          <w:bottom w:val="nil"/>
          <w:right w:val="nil"/>
          <w:between w:val="nil"/>
        </w:pBdr>
        <w:spacing w:after="0" w:line="240" w:lineRule="auto"/>
        <w:jc w:val="both"/>
        <w:rPr>
          <w:rFonts w:ascii="Verdana" w:hAnsi="Verdana"/>
          <w:color w:val="000000"/>
          <w:sz w:val="20"/>
          <w:szCs w:val="20"/>
        </w:rPr>
      </w:pPr>
      <w:r w:rsidRPr="00CB7F51">
        <w:rPr>
          <w:rFonts w:ascii="Verdana" w:hAnsi="Verdana"/>
          <w:sz w:val="20"/>
          <w:szCs w:val="20"/>
          <w:vertAlign w:val="superscript"/>
        </w:rPr>
        <w:footnoteRef/>
      </w:r>
      <w:r w:rsidRPr="00CB7F51">
        <w:rPr>
          <w:rFonts w:ascii="Verdana" w:eastAsia="Times New Roman" w:hAnsi="Verdana" w:cs="Times New Roman"/>
          <w:color w:val="000000"/>
          <w:sz w:val="20"/>
          <w:szCs w:val="20"/>
        </w:rPr>
        <w:t xml:space="preserve"> </w:t>
      </w:r>
    </w:p>
  </w:footnote>
  <w:footnote w:id="4">
    <w:p w14:paraId="0000001D" w14:textId="77777777" w:rsidR="00922161" w:rsidRPr="00CB7F51" w:rsidRDefault="00282F4C" w:rsidP="00CB7F51">
      <w:pPr>
        <w:pBdr>
          <w:top w:val="nil"/>
          <w:left w:val="nil"/>
          <w:bottom w:val="nil"/>
          <w:right w:val="nil"/>
          <w:between w:val="nil"/>
        </w:pBdr>
        <w:spacing w:after="0" w:line="240" w:lineRule="auto"/>
        <w:jc w:val="both"/>
        <w:rPr>
          <w:rFonts w:ascii="Verdana" w:eastAsia="Times New Roman" w:hAnsi="Verdana" w:cs="Times New Roman"/>
          <w:color w:val="000000"/>
          <w:sz w:val="20"/>
          <w:szCs w:val="20"/>
        </w:rPr>
      </w:pPr>
      <w:r w:rsidRPr="00CB7F51">
        <w:rPr>
          <w:rFonts w:ascii="Verdana" w:hAnsi="Verdana"/>
          <w:sz w:val="20"/>
          <w:szCs w:val="20"/>
          <w:vertAlign w:val="superscript"/>
        </w:rPr>
        <w:footnoteRef/>
      </w:r>
      <w:r w:rsidRPr="00CB7F51">
        <w:rPr>
          <w:rFonts w:ascii="Verdana" w:eastAsia="Times New Roman" w:hAnsi="Verdana" w:cs="Times New Roman"/>
          <w:color w:val="000000"/>
          <w:sz w:val="20"/>
          <w:szCs w:val="20"/>
        </w:rPr>
        <w:t xml:space="preserve"> Torrentino, Firenze, 1550, poi Torni, 1986, p. 548.</w:t>
      </w:r>
    </w:p>
  </w:footnote>
  <w:footnote w:id="5">
    <w:p w14:paraId="0000001E" w14:textId="77777777" w:rsidR="00922161" w:rsidRPr="00CB7F51" w:rsidRDefault="00282F4C" w:rsidP="00CB7F51">
      <w:pPr>
        <w:pBdr>
          <w:top w:val="nil"/>
          <w:left w:val="nil"/>
          <w:bottom w:val="nil"/>
          <w:right w:val="nil"/>
          <w:between w:val="nil"/>
        </w:pBdr>
        <w:spacing w:after="0"/>
        <w:ind w:firstLine="280"/>
        <w:jc w:val="both"/>
        <w:rPr>
          <w:rFonts w:ascii="Verdana" w:eastAsia="Garamond" w:hAnsi="Verdana" w:cs="Garamond"/>
          <w:color w:val="000000"/>
          <w:sz w:val="20"/>
          <w:szCs w:val="20"/>
        </w:rPr>
      </w:pPr>
      <w:r w:rsidRPr="00CB7F51">
        <w:rPr>
          <w:rFonts w:ascii="Verdana" w:hAnsi="Verdana"/>
          <w:sz w:val="20"/>
          <w:szCs w:val="20"/>
          <w:vertAlign w:val="superscript"/>
        </w:rPr>
        <w:footnoteRef/>
      </w:r>
      <w:r w:rsidRPr="00CB7F51">
        <w:rPr>
          <w:rFonts w:ascii="Verdana" w:eastAsia="Times New Roman" w:hAnsi="Verdana" w:cs="Times New Roman"/>
          <w:color w:val="000000"/>
          <w:sz w:val="20"/>
          <w:szCs w:val="20"/>
        </w:rPr>
        <w:t xml:space="preserve"> Si rinvia al fondamentale lavoro di M. </w:t>
      </w:r>
      <w:proofErr w:type="spellStart"/>
      <w:r w:rsidRPr="00CB7F51">
        <w:rPr>
          <w:rFonts w:ascii="Verdana" w:eastAsia="Times New Roman" w:hAnsi="Verdana" w:cs="Times New Roman"/>
          <w:color w:val="000000"/>
          <w:sz w:val="20"/>
          <w:szCs w:val="20"/>
        </w:rPr>
        <w:t>Versiero</w:t>
      </w:r>
      <w:proofErr w:type="spellEnd"/>
      <w:r w:rsidRPr="00CB7F51">
        <w:rPr>
          <w:rFonts w:ascii="Verdana" w:eastAsia="Times New Roman" w:hAnsi="Verdana" w:cs="Times New Roman"/>
          <w:color w:val="000000"/>
          <w:sz w:val="20"/>
          <w:szCs w:val="20"/>
        </w:rPr>
        <w:t xml:space="preserve">, </w:t>
      </w:r>
      <w:r w:rsidRPr="00CB7F51">
        <w:rPr>
          <w:rFonts w:ascii="Verdana" w:eastAsia="Times New Roman" w:hAnsi="Verdana" w:cs="Times New Roman"/>
          <w:i/>
          <w:color w:val="000000"/>
          <w:sz w:val="20"/>
          <w:szCs w:val="20"/>
        </w:rPr>
        <w:t xml:space="preserve">«A similitudine de la farfalla </w:t>
      </w:r>
      <w:proofErr w:type="spellStart"/>
      <w:r w:rsidRPr="00CB7F51">
        <w:rPr>
          <w:rFonts w:ascii="Verdana" w:eastAsia="Times New Roman" w:hAnsi="Verdana" w:cs="Times New Roman"/>
          <w:i/>
          <w:color w:val="000000"/>
          <w:sz w:val="20"/>
          <w:szCs w:val="20"/>
        </w:rPr>
        <w:t>a’</w:t>
      </w:r>
      <w:proofErr w:type="spellEnd"/>
      <w:r w:rsidRPr="00CB7F51">
        <w:rPr>
          <w:rFonts w:ascii="Verdana" w:eastAsia="Times New Roman" w:hAnsi="Verdana" w:cs="Times New Roman"/>
          <w:i/>
          <w:color w:val="000000"/>
          <w:sz w:val="20"/>
          <w:szCs w:val="20"/>
        </w:rPr>
        <w:t xml:space="preserve"> lume». L’umanesimo scientifico</w:t>
      </w:r>
      <w:r w:rsidRPr="00CB7F51">
        <w:rPr>
          <w:rFonts w:ascii="Verdana" w:eastAsia="Times New Roman" w:hAnsi="Verdana" w:cs="Times New Roman"/>
          <w:color w:val="000000"/>
          <w:sz w:val="20"/>
          <w:szCs w:val="20"/>
        </w:rPr>
        <w:t xml:space="preserve"> </w:t>
      </w:r>
      <w:r w:rsidRPr="00CB7F51">
        <w:rPr>
          <w:rFonts w:ascii="Verdana" w:eastAsia="Times New Roman" w:hAnsi="Verdana" w:cs="Times New Roman"/>
          <w:i/>
          <w:color w:val="000000"/>
          <w:sz w:val="20"/>
          <w:szCs w:val="20"/>
        </w:rPr>
        <w:t xml:space="preserve">di Leonardo da Vinci, </w:t>
      </w:r>
      <w:r w:rsidRPr="00CB7F51">
        <w:rPr>
          <w:rFonts w:ascii="Verdana" w:eastAsia="Times New Roman" w:hAnsi="Verdana" w:cs="Times New Roman"/>
          <w:color w:val="000000"/>
          <w:sz w:val="20"/>
          <w:szCs w:val="20"/>
        </w:rPr>
        <w:t xml:space="preserve">in </w:t>
      </w:r>
      <w:r w:rsidRPr="00CB7F51">
        <w:rPr>
          <w:rFonts w:ascii="Verdana" w:eastAsia="Times New Roman" w:hAnsi="Verdana" w:cs="Times New Roman"/>
          <w:i/>
          <w:color w:val="000000"/>
          <w:sz w:val="20"/>
          <w:szCs w:val="20"/>
        </w:rPr>
        <w:t>Umanesimo, storia, critica, attualità</w:t>
      </w:r>
      <w:r w:rsidRPr="00CB7F51">
        <w:rPr>
          <w:rFonts w:ascii="Verdana" w:eastAsia="Times New Roman" w:hAnsi="Verdana" w:cs="Times New Roman"/>
          <w:color w:val="000000"/>
          <w:sz w:val="20"/>
          <w:szCs w:val="20"/>
        </w:rPr>
        <w:t>, a cura di</w:t>
      </w:r>
      <w:r w:rsidRPr="00CB7F51">
        <w:rPr>
          <w:rFonts w:ascii="Verdana" w:eastAsia="Times New Roman" w:hAnsi="Verdana" w:cs="Times New Roman"/>
          <w:i/>
          <w:color w:val="000000"/>
          <w:sz w:val="20"/>
          <w:szCs w:val="20"/>
        </w:rPr>
        <w:t xml:space="preserve"> </w:t>
      </w:r>
      <w:r w:rsidRPr="00CB7F51">
        <w:rPr>
          <w:rFonts w:ascii="Verdana" w:eastAsia="Times New Roman" w:hAnsi="Verdana" w:cs="Times New Roman"/>
          <w:color w:val="000000"/>
          <w:sz w:val="20"/>
          <w:szCs w:val="20"/>
        </w:rPr>
        <w:t>Marco Russo, Le lettere, Firenze, 2015, pp. 83-102</w:t>
      </w:r>
      <w:r w:rsidRPr="00CB7F51">
        <w:rPr>
          <w:rFonts w:ascii="Verdana" w:eastAsia="Garamond" w:hAnsi="Verdana" w:cs="Garamond"/>
          <w:color w:val="000000"/>
          <w:sz w:val="20"/>
          <w:szCs w:val="20"/>
        </w:rPr>
        <w:t xml:space="preserve">. A favore della irriducibilità del Rinascimento ad una unica visione, luminosa, razionale, progressiva si veda  H. Haydn, </w:t>
      </w:r>
      <w:r w:rsidRPr="00CB7F51">
        <w:rPr>
          <w:rFonts w:ascii="Verdana" w:eastAsia="Garamond" w:hAnsi="Verdana" w:cs="Garamond"/>
          <w:i/>
          <w:color w:val="000000"/>
          <w:sz w:val="20"/>
          <w:szCs w:val="20"/>
        </w:rPr>
        <w:t xml:space="preserve">Il </w:t>
      </w:r>
      <w:proofErr w:type="spellStart"/>
      <w:r w:rsidRPr="00CB7F51">
        <w:rPr>
          <w:rFonts w:ascii="Verdana" w:eastAsia="Garamond" w:hAnsi="Verdana" w:cs="Garamond"/>
          <w:i/>
          <w:color w:val="000000"/>
          <w:sz w:val="20"/>
          <w:szCs w:val="20"/>
        </w:rPr>
        <w:t>Controrinascimento</w:t>
      </w:r>
      <w:proofErr w:type="spellEnd"/>
      <w:r w:rsidRPr="00CB7F51">
        <w:rPr>
          <w:rFonts w:ascii="Verdana" w:eastAsia="Garamond" w:hAnsi="Verdana" w:cs="Garamond"/>
          <w:color w:val="000000"/>
          <w:sz w:val="20"/>
          <w:szCs w:val="20"/>
        </w:rPr>
        <w:t xml:space="preserve">, il Mulino, Bologna 1967; </w:t>
      </w:r>
      <w:r w:rsidRPr="00CB7F51">
        <w:rPr>
          <w:rFonts w:ascii="Verdana" w:eastAsia="Times New Roman" w:hAnsi="Verdana" w:cs="Times New Roman"/>
          <w:color w:val="000000"/>
          <w:sz w:val="20"/>
          <w:szCs w:val="20"/>
        </w:rPr>
        <w:t xml:space="preserve">D. </w:t>
      </w:r>
      <w:proofErr w:type="spellStart"/>
      <w:r w:rsidRPr="00CB7F51">
        <w:rPr>
          <w:rFonts w:ascii="Verdana" w:eastAsia="Times New Roman" w:hAnsi="Verdana" w:cs="Times New Roman"/>
          <w:color w:val="000000"/>
          <w:sz w:val="20"/>
          <w:szCs w:val="20"/>
        </w:rPr>
        <w:t>Cantimori</w:t>
      </w:r>
      <w:proofErr w:type="spellEnd"/>
      <w:r w:rsidRPr="00CB7F51">
        <w:rPr>
          <w:rFonts w:ascii="Verdana" w:eastAsia="Times New Roman" w:hAnsi="Verdana" w:cs="Times New Roman"/>
          <w:color w:val="000000"/>
          <w:sz w:val="20"/>
          <w:szCs w:val="20"/>
        </w:rPr>
        <w:t xml:space="preserve">, </w:t>
      </w:r>
      <w:r w:rsidRPr="00CB7F51">
        <w:rPr>
          <w:rFonts w:ascii="Verdana" w:eastAsia="Times New Roman" w:hAnsi="Verdana" w:cs="Times New Roman"/>
          <w:i/>
          <w:color w:val="000000"/>
          <w:sz w:val="20"/>
          <w:szCs w:val="20"/>
        </w:rPr>
        <w:t>Studi di Storia</w:t>
      </w:r>
      <w:r w:rsidRPr="00CB7F51">
        <w:rPr>
          <w:rFonts w:ascii="Verdana" w:eastAsia="Times New Roman" w:hAnsi="Verdana" w:cs="Times New Roman"/>
          <w:color w:val="000000"/>
          <w:sz w:val="20"/>
          <w:szCs w:val="20"/>
        </w:rPr>
        <w:t xml:space="preserve">, Einaudi, Torino 1976, pp. 455-460 (pagine originariamente concepite come una recensione alla prima edizione americana del fondamentale volume dello Haydn, appena citato E. Battisti, </w:t>
      </w:r>
      <w:r w:rsidRPr="00CB7F51">
        <w:rPr>
          <w:rFonts w:ascii="Verdana" w:eastAsia="Times New Roman" w:hAnsi="Verdana" w:cs="Times New Roman"/>
          <w:i/>
          <w:color w:val="000000"/>
          <w:sz w:val="20"/>
          <w:szCs w:val="20"/>
        </w:rPr>
        <w:t>L’</w:t>
      </w:r>
      <w:proofErr w:type="spellStart"/>
      <w:r w:rsidRPr="00CB7F51">
        <w:rPr>
          <w:rFonts w:ascii="Verdana" w:eastAsia="Times New Roman" w:hAnsi="Verdana" w:cs="Times New Roman"/>
          <w:i/>
          <w:color w:val="000000"/>
          <w:sz w:val="20"/>
          <w:szCs w:val="20"/>
        </w:rPr>
        <w:t>Antirinascimento</w:t>
      </w:r>
      <w:proofErr w:type="spellEnd"/>
      <w:r w:rsidRPr="00CB7F51">
        <w:rPr>
          <w:rFonts w:ascii="Verdana" w:eastAsia="Times New Roman" w:hAnsi="Verdana" w:cs="Times New Roman"/>
          <w:color w:val="000000"/>
          <w:sz w:val="20"/>
          <w:szCs w:val="20"/>
        </w:rPr>
        <w:t xml:space="preserve">, Aragno, Torino 2005; E. </w:t>
      </w:r>
      <w:proofErr w:type="spellStart"/>
      <w:r w:rsidRPr="00CB7F51">
        <w:rPr>
          <w:rFonts w:ascii="Verdana" w:eastAsia="Times New Roman" w:hAnsi="Verdana" w:cs="Times New Roman"/>
          <w:color w:val="000000"/>
          <w:sz w:val="20"/>
          <w:szCs w:val="20"/>
        </w:rPr>
        <w:t>Raimondi</w:t>
      </w:r>
      <w:proofErr w:type="spellEnd"/>
      <w:r w:rsidRPr="00CB7F51">
        <w:rPr>
          <w:rFonts w:ascii="Verdana" w:eastAsia="Times New Roman" w:hAnsi="Verdana" w:cs="Times New Roman"/>
          <w:color w:val="000000"/>
          <w:sz w:val="20"/>
          <w:szCs w:val="20"/>
        </w:rPr>
        <w:t xml:space="preserve">, </w:t>
      </w:r>
      <w:r w:rsidRPr="00CB7F51">
        <w:rPr>
          <w:rFonts w:ascii="Verdana" w:eastAsia="Times New Roman" w:hAnsi="Verdana" w:cs="Times New Roman"/>
          <w:i/>
          <w:color w:val="000000"/>
          <w:sz w:val="20"/>
          <w:szCs w:val="20"/>
        </w:rPr>
        <w:t>Rinascimento inquieto</w:t>
      </w:r>
      <w:r w:rsidRPr="00CB7F51">
        <w:rPr>
          <w:rFonts w:ascii="Verdana" w:eastAsia="Times New Roman" w:hAnsi="Verdana" w:cs="Times New Roman"/>
          <w:color w:val="000000"/>
          <w:sz w:val="20"/>
          <w:szCs w:val="20"/>
        </w:rPr>
        <w:t xml:space="preserve">, Einaudi, Torino 1994; ai quali deve aggiungersi almeno, per gli orientamenti letterari e linguistici, la fondamentale raccolta di studi di C. </w:t>
      </w:r>
      <w:proofErr w:type="spellStart"/>
      <w:r w:rsidRPr="00CB7F51">
        <w:rPr>
          <w:rFonts w:ascii="Verdana" w:eastAsia="Times New Roman" w:hAnsi="Verdana" w:cs="Times New Roman"/>
          <w:color w:val="000000"/>
          <w:sz w:val="20"/>
          <w:szCs w:val="20"/>
        </w:rPr>
        <w:t>Dionisotti</w:t>
      </w:r>
      <w:proofErr w:type="spellEnd"/>
      <w:r w:rsidRPr="00CB7F51">
        <w:rPr>
          <w:rFonts w:ascii="Verdana" w:eastAsia="Times New Roman" w:hAnsi="Verdana" w:cs="Times New Roman"/>
          <w:color w:val="000000"/>
          <w:sz w:val="20"/>
          <w:szCs w:val="20"/>
        </w:rPr>
        <w:t xml:space="preserve">, </w:t>
      </w:r>
      <w:r w:rsidRPr="00CB7F51">
        <w:rPr>
          <w:rFonts w:ascii="Verdana" w:eastAsia="Times New Roman" w:hAnsi="Verdana" w:cs="Times New Roman"/>
          <w:i/>
          <w:color w:val="000000"/>
          <w:sz w:val="20"/>
          <w:szCs w:val="20"/>
        </w:rPr>
        <w:t>Geografia e storia della letteratura italiana</w:t>
      </w:r>
      <w:r w:rsidRPr="00CB7F51">
        <w:rPr>
          <w:rFonts w:ascii="Verdana" w:eastAsia="Times New Roman" w:hAnsi="Verdana" w:cs="Times New Roman"/>
          <w:color w:val="000000"/>
          <w:sz w:val="20"/>
          <w:szCs w:val="20"/>
        </w:rPr>
        <w:t>, Einaudi, Torino 1999</w:t>
      </w:r>
      <w:r w:rsidRPr="00CB7F51">
        <w:rPr>
          <w:rFonts w:ascii="Verdana" w:eastAsia="Garamond" w:hAnsi="Verdana" w:cs="Garamond"/>
          <w:color w:val="000000"/>
          <w:sz w:val="20"/>
          <w:szCs w:val="20"/>
        </w:rPr>
        <w:t>.</w:t>
      </w:r>
    </w:p>
    <w:p w14:paraId="0000001F" w14:textId="77777777" w:rsidR="00922161" w:rsidRPr="00CB7F51" w:rsidRDefault="00922161" w:rsidP="00CB7F51">
      <w:pPr>
        <w:pBdr>
          <w:top w:val="nil"/>
          <w:left w:val="nil"/>
          <w:bottom w:val="nil"/>
          <w:right w:val="nil"/>
          <w:between w:val="nil"/>
        </w:pBdr>
        <w:spacing w:after="0" w:line="240" w:lineRule="auto"/>
        <w:jc w:val="both"/>
        <w:rPr>
          <w:rFonts w:ascii="Verdana" w:hAnsi="Verdana"/>
          <w:color w:val="000000"/>
          <w:sz w:val="20"/>
          <w:szCs w:val="20"/>
        </w:rPr>
      </w:pPr>
    </w:p>
  </w:footnote>
  <w:footnote w:id="6">
    <w:p w14:paraId="00000020" w14:textId="77777777" w:rsidR="00922161" w:rsidRPr="00CB7F51" w:rsidRDefault="00282F4C" w:rsidP="00CB7F51">
      <w:pPr>
        <w:pBdr>
          <w:top w:val="nil"/>
          <w:left w:val="nil"/>
          <w:bottom w:val="nil"/>
          <w:right w:val="nil"/>
          <w:between w:val="nil"/>
        </w:pBdr>
        <w:spacing w:after="0" w:line="240" w:lineRule="auto"/>
        <w:jc w:val="both"/>
        <w:rPr>
          <w:rFonts w:ascii="Verdana" w:hAnsi="Verdana"/>
          <w:color w:val="000000"/>
          <w:sz w:val="20"/>
          <w:szCs w:val="20"/>
        </w:rPr>
      </w:pPr>
      <w:r w:rsidRPr="00CB7F51">
        <w:rPr>
          <w:rFonts w:ascii="Verdana" w:hAnsi="Verdana"/>
          <w:sz w:val="20"/>
          <w:szCs w:val="20"/>
          <w:vertAlign w:val="superscript"/>
        </w:rPr>
        <w:footnoteRef/>
      </w:r>
      <w:r w:rsidRPr="00CB7F51">
        <w:rPr>
          <w:rFonts w:ascii="Verdana" w:hAnsi="Verdana"/>
          <w:color w:val="000000"/>
          <w:sz w:val="20"/>
          <w:szCs w:val="20"/>
        </w:rPr>
        <w:t xml:space="preserve"> </w:t>
      </w:r>
      <w:r w:rsidRPr="00CB7F51">
        <w:rPr>
          <w:rFonts w:ascii="Verdana" w:eastAsia="Times New Roman" w:hAnsi="Verdana" w:cs="Times New Roman"/>
          <w:color w:val="000000"/>
          <w:sz w:val="20"/>
          <w:szCs w:val="20"/>
        </w:rPr>
        <w:t xml:space="preserve"> E’ il titolo della splendida mostra interattiva, a cura di Treccani e di Studio Azzurro. svoltasi nel 2019 nella Galleria d’Arte Moderna E. </w:t>
      </w:r>
      <w:proofErr w:type="spellStart"/>
      <w:r w:rsidRPr="00CB7F51">
        <w:rPr>
          <w:rFonts w:ascii="Verdana" w:eastAsia="Times New Roman" w:hAnsi="Verdana" w:cs="Times New Roman"/>
          <w:color w:val="000000"/>
          <w:sz w:val="20"/>
          <w:szCs w:val="20"/>
        </w:rPr>
        <w:t>Restivo</w:t>
      </w:r>
      <w:proofErr w:type="spellEnd"/>
      <w:r w:rsidRPr="00CB7F51">
        <w:rPr>
          <w:rFonts w:ascii="Verdana" w:eastAsia="Times New Roman" w:hAnsi="Verdana" w:cs="Times New Roman"/>
          <w:color w:val="000000"/>
          <w:sz w:val="20"/>
          <w:szCs w:val="20"/>
        </w:rPr>
        <w:t xml:space="preserve"> di Palermo.</w:t>
      </w:r>
    </w:p>
  </w:footnote>
  <w:footnote w:id="7">
    <w:p w14:paraId="00000021" w14:textId="77777777" w:rsidR="00922161" w:rsidRPr="00CB7F51" w:rsidRDefault="00282F4C" w:rsidP="00CB7F51">
      <w:pPr>
        <w:pBdr>
          <w:top w:val="nil"/>
          <w:left w:val="nil"/>
          <w:bottom w:val="nil"/>
          <w:right w:val="nil"/>
          <w:between w:val="nil"/>
        </w:pBdr>
        <w:spacing w:after="0" w:line="240" w:lineRule="auto"/>
        <w:jc w:val="both"/>
        <w:rPr>
          <w:rFonts w:ascii="Verdana" w:hAnsi="Verdana"/>
          <w:color w:val="000000"/>
          <w:sz w:val="20"/>
          <w:szCs w:val="20"/>
        </w:rPr>
      </w:pPr>
      <w:r w:rsidRPr="00CB7F51">
        <w:rPr>
          <w:rFonts w:ascii="Verdana" w:hAnsi="Verdana"/>
          <w:sz w:val="20"/>
          <w:szCs w:val="20"/>
          <w:vertAlign w:val="superscript"/>
        </w:rPr>
        <w:footnoteRef/>
      </w:r>
      <w:r w:rsidRPr="00CB7F51">
        <w:rPr>
          <w:rFonts w:ascii="Verdana" w:eastAsia="Times New Roman" w:hAnsi="Verdana" w:cs="Times New Roman"/>
          <w:color w:val="000000"/>
          <w:sz w:val="20"/>
          <w:szCs w:val="20"/>
        </w:rPr>
        <w:t xml:space="preserve"> Leonardo da Vinci, </w:t>
      </w:r>
      <w:r w:rsidRPr="00CB7F51">
        <w:rPr>
          <w:rFonts w:ascii="Verdana" w:eastAsia="Times New Roman" w:hAnsi="Verdana" w:cs="Times New Roman"/>
          <w:i/>
          <w:color w:val="000000"/>
          <w:sz w:val="20"/>
          <w:szCs w:val="20"/>
        </w:rPr>
        <w:t>Leonardo prosatore. Scelta di scritti vinciani</w:t>
      </w:r>
      <w:r w:rsidRPr="00CB7F51">
        <w:rPr>
          <w:rFonts w:ascii="Verdana" w:eastAsia="Times New Roman" w:hAnsi="Verdana" w:cs="Times New Roman"/>
          <w:color w:val="000000"/>
          <w:sz w:val="20"/>
          <w:szCs w:val="20"/>
        </w:rPr>
        <w:t xml:space="preserve"> (</w:t>
      </w:r>
      <w:proofErr w:type="spellStart"/>
      <w:r w:rsidRPr="00CB7F51">
        <w:rPr>
          <w:rFonts w:ascii="Verdana" w:eastAsia="Times New Roman" w:hAnsi="Verdana" w:cs="Times New Roman"/>
          <w:color w:val="000000"/>
          <w:sz w:val="20"/>
          <w:szCs w:val="20"/>
        </w:rPr>
        <w:t>Soc</w:t>
      </w:r>
      <w:proofErr w:type="spellEnd"/>
      <w:r w:rsidRPr="00CB7F51">
        <w:rPr>
          <w:rFonts w:ascii="Verdana" w:eastAsia="Times New Roman" w:hAnsi="Verdana" w:cs="Times New Roman"/>
          <w:color w:val="000000"/>
          <w:sz w:val="20"/>
          <w:szCs w:val="20"/>
        </w:rPr>
        <w:t xml:space="preserve">. Dante Alighieri, </w:t>
      </w:r>
      <w:proofErr w:type="spellStart"/>
      <w:r w:rsidRPr="00CB7F51">
        <w:rPr>
          <w:rFonts w:ascii="Verdana" w:eastAsia="Times New Roman" w:hAnsi="Verdana" w:cs="Times New Roman"/>
          <w:color w:val="000000"/>
          <w:sz w:val="20"/>
          <w:szCs w:val="20"/>
        </w:rPr>
        <w:t>Alberighi</w:t>
      </w:r>
      <w:proofErr w:type="spellEnd"/>
      <w:r w:rsidRPr="00CB7F51">
        <w:rPr>
          <w:rFonts w:ascii="Verdana" w:eastAsia="Times New Roman" w:hAnsi="Verdana" w:cs="Times New Roman"/>
          <w:color w:val="000000"/>
          <w:sz w:val="20"/>
          <w:szCs w:val="20"/>
        </w:rPr>
        <w:t xml:space="preserve"> Segati ed., Milano-Roma-Napoli,1915).</w:t>
      </w:r>
    </w:p>
  </w:footnote>
  <w:footnote w:id="8">
    <w:p w14:paraId="00000022" w14:textId="77777777" w:rsidR="00922161" w:rsidRPr="00CB7F51" w:rsidRDefault="00282F4C" w:rsidP="00CB7F51">
      <w:pPr>
        <w:pBdr>
          <w:top w:val="nil"/>
          <w:left w:val="nil"/>
          <w:bottom w:val="nil"/>
          <w:right w:val="nil"/>
          <w:between w:val="nil"/>
        </w:pBdr>
        <w:spacing w:after="0" w:line="240" w:lineRule="auto"/>
        <w:jc w:val="both"/>
        <w:rPr>
          <w:rFonts w:ascii="Verdana" w:eastAsia="Times New Roman" w:hAnsi="Verdana" w:cs="Times New Roman"/>
          <w:color w:val="000000"/>
          <w:sz w:val="20"/>
          <w:szCs w:val="20"/>
        </w:rPr>
      </w:pPr>
      <w:r w:rsidRPr="00CB7F51">
        <w:rPr>
          <w:rFonts w:ascii="Verdana" w:hAnsi="Verdana"/>
          <w:sz w:val="20"/>
          <w:szCs w:val="20"/>
          <w:vertAlign w:val="superscript"/>
        </w:rPr>
        <w:footnoteRef/>
      </w:r>
      <w:r w:rsidRPr="00CB7F51">
        <w:rPr>
          <w:rFonts w:ascii="Verdana" w:eastAsia="Times New Roman" w:hAnsi="Verdana" w:cs="Times New Roman"/>
          <w:color w:val="000000"/>
          <w:sz w:val="20"/>
          <w:szCs w:val="20"/>
        </w:rPr>
        <w:t xml:space="preserve"> Codici e taccuini nella Biblioteca dell’</w:t>
      </w:r>
      <w:proofErr w:type="spellStart"/>
      <w:r w:rsidRPr="00CB7F51">
        <w:rPr>
          <w:rFonts w:ascii="Verdana" w:eastAsia="Times New Roman" w:hAnsi="Verdana" w:cs="Times New Roman"/>
          <w:color w:val="000000"/>
          <w:sz w:val="20"/>
          <w:szCs w:val="20"/>
        </w:rPr>
        <w:t>Institut</w:t>
      </w:r>
      <w:proofErr w:type="spellEnd"/>
      <w:r w:rsidRPr="00CB7F51">
        <w:rPr>
          <w:rFonts w:ascii="Verdana" w:eastAsia="Times New Roman" w:hAnsi="Verdana" w:cs="Times New Roman"/>
          <w:color w:val="000000"/>
          <w:sz w:val="20"/>
          <w:szCs w:val="20"/>
        </w:rPr>
        <w:t xml:space="preserve"> de France di Parigi.</w:t>
      </w:r>
    </w:p>
  </w:footnote>
  <w:footnote w:id="9">
    <w:p w14:paraId="00000023" w14:textId="77777777" w:rsidR="00922161" w:rsidRPr="00CB7F51" w:rsidRDefault="00282F4C" w:rsidP="00CB7F51">
      <w:pPr>
        <w:spacing w:after="0" w:line="240" w:lineRule="auto"/>
        <w:jc w:val="both"/>
        <w:rPr>
          <w:rFonts w:ascii="Verdana" w:eastAsia="Garamond" w:hAnsi="Verdana" w:cs="Garamond"/>
          <w:color w:val="231F20"/>
          <w:sz w:val="20"/>
          <w:szCs w:val="20"/>
        </w:rPr>
      </w:pPr>
      <w:r w:rsidRPr="00CB7F51">
        <w:rPr>
          <w:rFonts w:ascii="Verdana" w:hAnsi="Verdana"/>
          <w:sz w:val="20"/>
          <w:szCs w:val="20"/>
          <w:vertAlign w:val="superscript"/>
        </w:rPr>
        <w:footnoteRef/>
      </w:r>
      <w:r w:rsidRPr="00CB7F51">
        <w:rPr>
          <w:rFonts w:ascii="Verdana" w:hAnsi="Verdana"/>
          <w:sz w:val="20"/>
          <w:szCs w:val="20"/>
        </w:rPr>
        <w:t xml:space="preserve"> </w:t>
      </w:r>
      <w:r w:rsidRPr="00CB7F51">
        <w:rPr>
          <w:rFonts w:ascii="Verdana" w:eastAsia="Garamond" w:hAnsi="Verdana" w:cs="Garamond"/>
          <w:color w:val="231F20"/>
          <w:sz w:val="20"/>
          <w:szCs w:val="20"/>
        </w:rPr>
        <w:t xml:space="preserve">Si può indicare a titolo di esempio il giudizio di P.A Orlandi, durevole per due secoli (e gradualmente posto in dubbio </w:t>
      </w:r>
      <w:r w:rsidRPr="00CB7F51">
        <w:rPr>
          <w:rFonts w:ascii="Verdana" w:eastAsia="Times New Roman" w:hAnsi="Verdana" w:cs="Times New Roman"/>
          <w:color w:val="231F20"/>
          <w:sz w:val="20"/>
          <w:szCs w:val="20"/>
        </w:rPr>
        <w:t>dall’inizio</w:t>
      </w:r>
      <w:r w:rsidRPr="00CB7F51">
        <w:rPr>
          <w:rFonts w:ascii="Verdana" w:eastAsia="Garamond" w:hAnsi="Verdana" w:cs="Garamond"/>
          <w:color w:val="231F20"/>
          <w:sz w:val="20"/>
          <w:szCs w:val="20"/>
        </w:rPr>
        <w:t xml:space="preserve"> del ‘700  in avanti ) su quale fosse il principale contributo di Leonardo al proprio tempo, e alla civiltà umana, in genere, secondo cui gli scritti su fisica, meccanica avrebbero sopravanzato per importanza e rilevanza ma non anche per numerosità quelli sulla pittura e le arti; si cita a proposito l’Orlandi che nel 1704, ancora scriveva: «Leonardo da Vinci compose molti altri libri d’acque, di machine etc. ed altri ne scrisse con la sinistra mano. Molti manoscritti spettanti alla pittura di questo celebre Autore si ritrovano nella famosa libreria di San Michele in Bosco fuori di Bologna» (PELLEGRINO ANTONIO ORLANDI, </w:t>
      </w:r>
      <w:r w:rsidRPr="00CB7F51">
        <w:rPr>
          <w:rFonts w:ascii="Verdana" w:eastAsia="Garamond" w:hAnsi="Verdana" w:cs="Garamond"/>
          <w:i/>
          <w:color w:val="231F20"/>
          <w:sz w:val="20"/>
          <w:szCs w:val="20"/>
        </w:rPr>
        <w:t>Abecedario pittorico nel quale compendiosamente sono descritte le patrie […]</w:t>
      </w:r>
      <w:r w:rsidRPr="00CB7F51">
        <w:rPr>
          <w:rFonts w:ascii="Verdana" w:eastAsia="Garamond" w:hAnsi="Verdana" w:cs="Garamond"/>
          <w:color w:val="231F20"/>
          <w:sz w:val="20"/>
          <w:szCs w:val="20"/>
        </w:rPr>
        <w:t xml:space="preserve">, Bologna, Per Costantino </w:t>
      </w:r>
      <w:proofErr w:type="spellStart"/>
      <w:r w:rsidRPr="00CB7F51">
        <w:rPr>
          <w:rFonts w:ascii="Verdana" w:eastAsia="Garamond" w:hAnsi="Verdana" w:cs="Garamond"/>
          <w:color w:val="231F20"/>
          <w:sz w:val="20"/>
          <w:szCs w:val="20"/>
        </w:rPr>
        <w:t>Pisarri</w:t>
      </w:r>
      <w:proofErr w:type="spellEnd"/>
      <w:r w:rsidRPr="00CB7F51">
        <w:rPr>
          <w:rFonts w:ascii="Verdana" w:eastAsia="Garamond" w:hAnsi="Verdana" w:cs="Garamond"/>
          <w:color w:val="231F20"/>
          <w:sz w:val="20"/>
          <w:szCs w:val="20"/>
        </w:rPr>
        <w:t xml:space="preserve">, sotto le scuole, 1704,  p. 399). </w:t>
      </w:r>
    </w:p>
    <w:p w14:paraId="00000024" w14:textId="77777777" w:rsidR="00922161" w:rsidRPr="00CB7F51" w:rsidRDefault="00922161" w:rsidP="00CB7F51">
      <w:pPr>
        <w:pBdr>
          <w:top w:val="nil"/>
          <w:left w:val="nil"/>
          <w:bottom w:val="nil"/>
          <w:right w:val="nil"/>
          <w:between w:val="nil"/>
        </w:pBdr>
        <w:spacing w:after="0" w:line="240" w:lineRule="auto"/>
        <w:jc w:val="both"/>
        <w:rPr>
          <w:rFonts w:ascii="Verdana" w:hAnsi="Verdana"/>
          <w:color w:val="000000"/>
          <w:sz w:val="20"/>
          <w:szCs w:val="20"/>
        </w:rPr>
      </w:pPr>
    </w:p>
  </w:footnote>
  <w:footnote w:id="10">
    <w:p w14:paraId="00000025" w14:textId="77777777" w:rsidR="00922161" w:rsidRPr="00CB7F51" w:rsidRDefault="00282F4C" w:rsidP="00CB7F51">
      <w:pPr>
        <w:pBdr>
          <w:top w:val="nil"/>
          <w:left w:val="nil"/>
          <w:bottom w:val="nil"/>
          <w:right w:val="nil"/>
          <w:between w:val="nil"/>
        </w:pBdr>
        <w:spacing w:after="0" w:line="240" w:lineRule="auto"/>
        <w:jc w:val="both"/>
        <w:rPr>
          <w:rFonts w:ascii="Verdana" w:hAnsi="Verdana"/>
          <w:color w:val="000000"/>
          <w:sz w:val="20"/>
          <w:szCs w:val="20"/>
        </w:rPr>
      </w:pPr>
      <w:r w:rsidRPr="00CB7F51">
        <w:rPr>
          <w:rFonts w:ascii="Verdana" w:hAnsi="Verdana"/>
          <w:sz w:val="20"/>
          <w:szCs w:val="20"/>
          <w:vertAlign w:val="superscript"/>
        </w:rPr>
        <w:footnoteRef/>
      </w:r>
      <w:r w:rsidRPr="00CB7F51">
        <w:rPr>
          <w:rFonts w:ascii="Verdana" w:hAnsi="Verdana"/>
          <w:color w:val="000000"/>
          <w:sz w:val="20"/>
          <w:szCs w:val="20"/>
        </w:rPr>
        <w:t xml:space="preserve"> </w:t>
      </w:r>
      <w:r w:rsidRPr="00CB7F51">
        <w:rPr>
          <w:rFonts w:ascii="Verdana" w:eastAsia="Times New Roman" w:hAnsi="Verdana" w:cs="Times New Roman"/>
          <w:color w:val="000000"/>
          <w:sz w:val="20"/>
          <w:szCs w:val="20"/>
        </w:rPr>
        <w:t xml:space="preserve">C. Pedretti, </w:t>
      </w:r>
      <w:r w:rsidRPr="00CB7F51">
        <w:rPr>
          <w:rFonts w:ascii="Verdana" w:eastAsia="Times New Roman" w:hAnsi="Verdana" w:cs="Times New Roman"/>
          <w:i/>
          <w:color w:val="000000"/>
          <w:sz w:val="20"/>
          <w:szCs w:val="20"/>
        </w:rPr>
        <w:t>Leonardo. Le macchine</w:t>
      </w:r>
      <w:r w:rsidRPr="00CB7F51">
        <w:rPr>
          <w:rFonts w:ascii="Verdana" w:eastAsia="Times New Roman" w:hAnsi="Verdana" w:cs="Times New Roman"/>
          <w:color w:val="000000"/>
          <w:sz w:val="20"/>
          <w:szCs w:val="20"/>
        </w:rPr>
        <w:t>, Giunti, Firenze, 1999</w:t>
      </w:r>
      <w:r w:rsidRPr="00CB7F51">
        <w:rPr>
          <w:rFonts w:ascii="Verdana" w:hAnsi="Verdana"/>
          <w:color w:val="000000"/>
          <w:sz w:val="20"/>
          <w:szCs w:val="20"/>
        </w:rPr>
        <w:t xml:space="preserve">. </w:t>
      </w:r>
    </w:p>
  </w:footnote>
  <w:footnote w:id="11">
    <w:p w14:paraId="00000026" w14:textId="77777777" w:rsidR="00922161" w:rsidRPr="00CB7F51" w:rsidRDefault="00282F4C" w:rsidP="00CB7F51">
      <w:pPr>
        <w:pBdr>
          <w:top w:val="nil"/>
          <w:left w:val="nil"/>
          <w:bottom w:val="nil"/>
          <w:right w:val="nil"/>
          <w:between w:val="nil"/>
        </w:pBdr>
        <w:spacing w:after="0"/>
        <w:jc w:val="both"/>
        <w:rPr>
          <w:rFonts w:ascii="Verdana" w:eastAsia="Times New Roman" w:hAnsi="Verdana" w:cs="Times New Roman"/>
          <w:color w:val="000000"/>
          <w:sz w:val="20"/>
          <w:szCs w:val="20"/>
        </w:rPr>
      </w:pPr>
      <w:r w:rsidRPr="00CB7F51">
        <w:rPr>
          <w:rFonts w:ascii="Verdana" w:hAnsi="Verdana"/>
          <w:sz w:val="20"/>
          <w:szCs w:val="20"/>
          <w:vertAlign w:val="superscript"/>
        </w:rPr>
        <w:footnoteRef/>
      </w:r>
      <w:r w:rsidRPr="00CB7F51">
        <w:rPr>
          <w:rFonts w:ascii="Verdana" w:eastAsia="Times New Roman" w:hAnsi="Verdana" w:cs="Times New Roman"/>
          <w:color w:val="000000"/>
          <w:sz w:val="20"/>
          <w:szCs w:val="20"/>
        </w:rPr>
        <w:t xml:space="preserve"> Nel momento di maturazione della propria visione sulle </w:t>
      </w:r>
      <w:proofErr w:type="spellStart"/>
      <w:r w:rsidRPr="00CB7F51">
        <w:rPr>
          <w:rFonts w:ascii="Verdana" w:eastAsia="Times New Roman" w:hAnsi="Verdana" w:cs="Times New Roman"/>
          <w:color w:val="000000"/>
          <w:sz w:val="20"/>
          <w:szCs w:val="20"/>
        </w:rPr>
        <w:t>interconnesioni</w:t>
      </w:r>
      <w:proofErr w:type="spellEnd"/>
      <w:r w:rsidRPr="00CB7F51">
        <w:rPr>
          <w:rFonts w:ascii="Verdana" w:eastAsia="Times New Roman" w:hAnsi="Verdana" w:cs="Times New Roman"/>
          <w:color w:val="000000"/>
          <w:sz w:val="20"/>
          <w:szCs w:val="20"/>
        </w:rPr>
        <w:t xml:space="preserve"> fra microcosmo e macrocosmo, Leonardo si chiese, con una domanda retorica positiva: «Non può essere bellezza e utilità, come appare nelle fortezze e </w:t>
      </w:r>
      <w:proofErr w:type="spellStart"/>
      <w:r w:rsidRPr="00CB7F51">
        <w:rPr>
          <w:rFonts w:ascii="Verdana" w:eastAsia="Times New Roman" w:hAnsi="Verdana" w:cs="Times New Roman"/>
          <w:color w:val="000000"/>
          <w:sz w:val="20"/>
          <w:szCs w:val="20"/>
        </w:rPr>
        <w:t>nelli</w:t>
      </w:r>
      <w:proofErr w:type="spellEnd"/>
      <w:r w:rsidRPr="00CB7F51">
        <w:rPr>
          <w:rFonts w:ascii="Verdana" w:eastAsia="Times New Roman" w:hAnsi="Verdana" w:cs="Times New Roman"/>
          <w:color w:val="000000"/>
          <w:sz w:val="20"/>
          <w:szCs w:val="20"/>
        </w:rPr>
        <w:t xml:space="preserve"> omini?» (</w:t>
      </w:r>
      <w:r w:rsidRPr="00CB7F51">
        <w:rPr>
          <w:rFonts w:ascii="Verdana" w:eastAsia="Times New Roman" w:hAnsi="Verdana" w:cs="Times New Roman"/>
          <w:i/>
          <w:color w:val="000000"/>
          <w:sz w:val="20"/>
          <w:szCs w:val="20"/>
        </w:rPr>
        <w:t>Codice Atlantico</w:t>
      </w:r>
      <w:r w:rsidRPr="00CB7F51">
        <w:rPr>
          <w:rFonts w:ascii="Verdana" w:eastAsia="Times New Roman" w:hAnsi="Verdana" w:cs="Times New Roman"/>
          <w:color w:val="000000"/>
          <w:sz w:val="20"/>
          <w:szCs w:val="20"/>
        </w:rPr>
        <w:t xml:space="preserve">, f. 399 r, c. 1490). Il senso della  è quello di una assimilazione del corpo architettonico di una fortezza all’architettura corporea di un essere umano. Cfr. P. C. Marani, </w:t>
      </w:r>
      <w:r w:rsidRPr="00CB7F51">
        <w:rPr>
          <w:rFonts w:ascii="Verdana" w:eastAsia="Times New Roman" w:hAnsi="Verdana" w:cs="Times New Roman"/>
          <w:i/>
          <w:color w:val="000000"/>
          <w:sz w:val="20"/>
          <w:szCs w:val="20"/>
        </w:rPr>
        <w:t>L’architettura fortificata negli studi di Leonardo da Vinci, con il catalogo completo dei disegni</w:t>
      </w:r>
      <w:r w:rsidRPr="00CB7F51">
        <w:rPr>
          <w:rFonts w:ascii="Verdana" w:eastAsia="Times New Roman" w:hAnsi="Verdana" w:cs="Times New Roman"/>
          <w:color w:val="000000"/>
          <w:sz w:val="20"/>
          <w:szCs w:val="20"/>
        </w:rPr>
        <w:t xml:space="preserve">, </w:t>
      </w:r>
      <w:proofErr w:type="spellStart"/>
      <w:r w:rsidRPr="00CB7F51">
        <w:rPr>
          <w:rFonts w:ascii="Verdana" w:eastAsia="Times New Roman" w:hAnsi="Verdana" w:cs="Times New Roman"/>
          <w:color w:val="000000"/>
          <w:sz w:val="20"/>
          <w:szCs w:val="20"/>
        </w:rPr>
        <w:t>Olschki</w:t>
      </w:r>
      <w:proofErr w:type="spellEnd"/>
      <w:r w:rsidRPr="00CB7F51">
        <w:rPr>
          <w:rFonts w:ascii="Verdana" w:eastAsia="Times New Roman" w:hAnsi="Verdana" w:cs="Times New Roman"/>
          <w:color w:val="000000"/>
          <w:sz w:val="20"/>
          <w:szCs w:val="20"/>
        </w:rPr>
        <w:t xml:space="preserve">, Firenze 1984, p. 291, nota 18; C. Pedretti, </w:t>
      </w:r>
      <w:r w:rsidRPr="00CB7F51">
        <w:rPr>
          <w:rFonts w:ascii="Verdana" w:eastAsia="Times New Roman" w:hAnsi="Verdana" w:cs="Times New Roman"/>
          <w:i/>
          <w:color w:val="000000"/>
          <w:sz w:val="20"/>
          <w:szCs w:val="20"/>
        </w:rPr>
        <w:t>Il concetto di bellezza e utilità in Sant’Agostino e Leonardo</w:t>
      </w:r>
      <w:r w:rsidRPr="00CB7F51">
        <w:rPr>
          <w:rFonts w:ascii="Verdana" w:eastAsia="Times New Roman" w:hAnsi="Verdana" w:cs="Times New Roman"/>
          <w:color w:val="000000"/>
          <w:sz w:val="20"/>
          <w:szCs w:val="20"/>
        </w:rPr>
        <w:t>, in «</w:t>
      </w:r>
      <w:proofErr w:type="spellStart"/>
      <w:r w:rsidRPr="00CB7F51">
        <w:rPr>
          <w:rFonts w:ascii="Verdana" w:eastAsia="Times New Roman" w:hAnsi="Verdana" w:cs="Times New Roman"/>
          <w:color w:val="000000"/>
          <w:sz w:val="20"/>
          <w:szCs w:val="20"/>
        </w:rPr>
        <w:t>Achademia</w:t>
      </w:r>
      <w:proofErr w:type="spellEnd"/>
      <w:r w:rsidRPr="00CB7F51">
        <w:rPr>
          <w:rFonts w:ascii="Verdana" w:eastAsia="Times New Roman" w:hAnsi="Verdana" w:cs="Times New Roman"/>
          <w:color w:val="000000"/>
          <w:sz w:val="20"/>
          <w:szCs w:val="20"/>
        </w:rPr>
        <w:t xml:space="preserve"> Leonardi Vinci», 5, 1992, pp. 107-111; M. </w:t>
      </w:r>
      <w:proofErr w:type="spellStart"/>
      <w:r w:rsidRPr="00CB7F51">
        <w:rPr>
          <w:rFonts w:ascii="Verdana" w:eastAsia="Times New Roman" w:hAnsi="Verdana" w:cs="Times New Roman"/>
          <w:color w:val="000000"/>
          <w:sz w:val="20"/>
          <w:szCs w:val="20"/>
        </w:rPr>
        <w:t>Versiero</w:t>
      </w:r>
      <w:proofErr w:type="spellEnd"/>
      <w:r w:rsidRPr="00CB7F51">
        <w:rPr>
          <w:rFonts w:ascii="Verdana" w:eastAsia="Times New Roman" w:hAnsi="Verdana" w:cs="Times New Roman"/>
          <w:color w:val="000000"/>
          <w:sz w:val="20"/>
          <w:szCs w:val="20"/>
        </w:rPr>
        <w:t xml:space="preserve">, </w:t>
      </w:r>
      <w:proofErr w:type="spellStart"/>
      <w:r w:rsidRPr="00CB7F51">
        <w:rPr>
          <w:rFonts w:ascii="Verdana" w:eastAsia="Times New Roman" w:hAnsi="Verdana" w:cs="Times New Roman"/>
          <w:i/>
          <w:color w:val="000000"/>
          <w:sz w:val="20"/>
          <w:szCs w:val="20"/>
        </w:rPr>
        <w:t>Codex</w:t>
      </w:r>
      <w:proofErr w:type="spellEnd"/>
      <w:r w:rsidRPr="00CB7F51">
        <w:rPr>
          <w:rFonts w:ascii="Verdana" w:eastAsia="Times New Roman" w:hAnsi="Verdana" w:cs="Times New Roman"/>
          <w:i/>
          <w:color w:val="000000"/>
          <w:sz w:val="20"/>
          <w:szCs w:val="20"/>
        </w:rPr>
        <w:t xml:space="preserve"> </w:t>
      </w:r>
      <w:proofErr w:type="spellStart"/>
      <w:r w:rsidRPr="00CB7F51">
        <w:rPr>
          <w:rFonts w:ascii="Verdana" w:eastAsia="Times New Roman" w:hAnsi="Verdana" w:cs="Times New Roman"/>
          <w:i/>
          <w:color w:val="000000"/>
          <w:sz w:val="20"/>
          <w:szCs w:val="20"/>
        </w:rPr>
        <w:t>Atlanticus</w:t>
      </w:r>
      <w:proofErr w:type="spellEnd"/>
      <w:r w:rsidRPr="00CB7F51">
        <w:rPr>
          <w:rFonts w:ascii="Verdana" w:eastAsia="Times New Roman" w:hAnsi="Verdana" w:cs="Times New Roman"/>
          <w:i/>
          <w:color w:val="000000"/>
          <w:sz w:val="20"/>
          <w:szCs w:val="20"/>
        </w:rPr>
        <w:t xml:space="preserve"> #04. Leonardo, la politica e le allegorie. Disegni di Leonardo dal Codice Atlantico</w:t>
      </w:r>
      <w:r w:rsidRPr="00CB7F51">
        <w:rPr>
          <w:rFonts w:ascii="Verdana" w:eastAsia="Times New Roman" w:hAnsi="Verdana" w:cs="Times New Roman"/>
          <w:color w:val="000000"/>
          <w:sz w:val="20"/>
          <w:szCs w:val="20"/>
        </w:rPr>
        <w:t xml:space="preserve">, presentazione di P. C. Marani, De Agostini, Novara 2010, pp. 46-48, </w:t>
      </w:r>
      <w:proofErr w:type="spellStart"/>
      <w:r w:rsidRPr="00CB7F51">
        <w:rPr>
          <w:rFonts w:ascii="Verdana" w:eastAsia="Times New Roman" w:hAnsi="Verdana" w:cs="Times New Roman"/>
          <w:color w:val="000000"/>
          <w:sz w:val="20"/>
          <w:szCs w:val="20"/>
        </w:rPr>
        <w:t>cat</w:t>
      </w:r>
      <w:proofErr w:type="spellEnd"/>
      <w:r w:rsidRPr="00CB7F51">
        <w:rPr>
          <w:rFonts w:ascii="Verdana" w:eastAsia="Times New Roman" w:hAnsi="Verdana" w:cs="Times New Roman"/>
          <w:color w:val="000000"/>
          <w:sz w:val="20"/>
          <w:szCs w:val="20"/>
        </w:rPr>
        <w:t xml:space="preserve">. no. 4. Quasi contemporaneo alla precedente citazione vinciana è il famosissimo disegno delle Gallerie dell’Accademia di Venezia (n. 228, c. 1490), che esibisce il canone delle proporzioni del corpo di un </w:t>
      </w:r>
      <w:r w:rsidRPr="00CB7F51">
        <w:rPr>
          <w:rFonts w:ascii="Verdana" w:eastAsia="Times New Roman" w:hAnsi="Verdana" w:cs="Times New Roman"/>
          <w:i/>
          <w:color w:val="000000"/>
          <w:sz w:val="20"/>
          <w:szCs w:val="20"/>
        </w:rPr>
        <w:t xml:space="preserve">homo bene </w:t>
      </w:r>
      <w:proofErr w:type="spellStart"/>
      <w:r w:rsidRPr="00CB7F51">
        <w:rPr>
          <w:rFonts w:ascii="Verdana" w:eastAsia="Times New Roman" w:hAnsi="Verdana" w:cs="Times New Roman"/>
          <w:i/>
          <w:color w:val="000000"/>
          <w:sz w:val="20"/>
          <w:szCs w:val="20"/>
        </w:rPr>
        <w:t>figuratus</w:t>
      </w:r>
      <w:proofErr w:type="spellEnd"/>
      <w:r w:rsidRPr="00CB7F51">
        <w:rPr>
          <w:rFonts w:ascii="Verdana" w:eastAsia="Times New Roman" w:hAnsi="Verdana" w:cs="Times New Roman"/>
          <w:color w:val="000000"/>
          <w:sz w:val="20"/>
          <w:szCs w:val="20"/>
        </w:rPr>
        <w:t xml:space="preserve">, secondo il </w:t>
      </w:r>
      <w:r w:rsidRPr="00CB7F51">
        <w:rPr>
          <w:rFonts w:ascii="Verdana" w:eastAsia="Times New Roman" w:hAnsi="Verdana" w:cs="Times New Roman"/>
          <w:i/>
          <w:color w:val="000000"/>
          <w:sz w:val="20"/>
          <w:szCs w:val="20"/>
        </w:rPr>
        <w:t xml:space="preserve">De </w:t>
      </w:r>
      <w:proofErr w:type="spellStart"/>
      <w:r w:rsidRPr="00CB7F51">
        <w:rPr>
          <w:rFonts w:ascii="Verdana" w:eastAsia="Times New Roman" w:hAnsi="Verdana" w:cs="Times New Roman"/>
          <w:i/>
          <w:color w:val="000000"/>
          <w:sz w:val="20"/>
          <w:szCs w:val="20"/>
        </w:rPr>
        <w:t>Architectura</w:t>
      </w:r>
      <w:proofErr w:type="spellEnd"/>
      <w:r w:rsidRPr="00CB7F51">
        <w:rPr>
          <w:rFonts w:ascii="Verdana" w:eastAsia="Times New Roman" w:hAnsi="Verdana" w:cs="Times New Roman"/>
          <w:i/>
          <w:color w:val="000000"/>
          <w:sz w:val="20"/>
          <w:szCs w:val="20"/>
        </w:rPr>
        <w:t xml:space="preserve"> </w:t>
      </w:r>
      <w:r w:rsidRPr="00CB7F51">
        <w:rPr>
          <w:rFonts w:ascii="Verdana" w:eastAsia="Times New Roman" w:hAnsi="Verdana" w:cs="Times New Roman"/>
          <w:color w:val="000000"/>
          <w:sz w:val="20"/>
          <w:szCs w:val="20"/>
        </w:rPr>
        <w:t xml:space="preserve">di Vitruvio. Si veda P. Gros-P. Clini-D. </w:t>
      </w:r>
      <w:proofErr w:type="spellStart"/>
      <w:r w:rsidRPr="00CB7F51">
        <w:rPr>
          <w:rFonts w:ascii="Verdana" w:eastAsia="Times New Roman" w:hAnsi="Verdana" w:cs="Times New Roman"/>
          <w:color w:val="000000"/>
          <w:sz w:val="20"/>
          <w:szCs w:val="20"/>
        </w:rPr>
        <w:t>Amadei</w:t>
      </w:r>
      <w:proofErr w:type="spellEnd"/>
      <w:r w:rsidRPr="00CB7F51">
        <w:rPr>
          <w:rFonts w:ascii="Verdana" w:eastAsia="Times New Roman" w:hAnsi="Verdana" w:cs="Times New Roman"/>
          <w:color w:val="000000"/>
          <w:sz w:val="20"/>
          <w:szCs w:val="20"/>
        </w:rPr>
        <w:t xml:space="preserve">, </w:t>
      </w:r>
      <w:r w:rsidRPr="00CB7F51">
        <w:rPr>
          <w:rFonts w:ascii="Verdana" w:eastAsia="Times New Roman" w:hAnsi="Verdana" w:cs="Times New Roman"/>
          <w:i/>
          <w:color w:val="000000"/>
          <w:sz w:val="20"/>
          <w:szCs w:val="20"/>
        </w:rPr>
        <w:t xml:space="preserve">Vitruvio e Leonardo, le geometrie platoniche nell’«uomo dalla bella forma» (De </w:t>
      </w:r>
      <w:proofErr w:type="spellStart"/>
      <w:r w:rsidRPr="00CB7F51">
        <w:rPr>
          <w:rFonts w:ascii="Verdana" w:eastAsia="Times New Roman" w:hAnsi="Verdana" w:cs="Times New Roman"/>
          <w:i/>
          <w:color w:val="000000"/>
          <w:sz w:val="20"/>
          <w:szCs w:val="20"/>
        </w:rPr>
        <w:t>Architectura</w:t>
      </w:r>
      <w:proofErr w:type="spellEnd"/>
      <w:r w:rsidRPr="00CB7F51">
        <w:rPr>
          <w:rFonts w:ascii="Verdana" w:eastAsia="Times New Roman" w:hAnsi="Verdana" w:cs="Times New Roman"/>
          <w:i/>
          <w:color w:val="000000"/>
          <w:sz w:val="20"/>
          <w:szCs w:val="20"/>
        </w:rPr>
        <w:t>, III, 1, 2-3)</w:t>
      </w:r>
      <w:r w:rsidRPr="00CB7F51">
        <w:rPr>
          <w:rFonts w:ascii="Verdana" w:eastAsia="Times New Roman" w:hAnsi="Verdana" w:cs="Times New Roman"/>
          <w:color w:val="000000"/>
          <w:sz w:val="20"/>
          <w:szCs w:val="20"/>
        </w:rPr>
        <w:t xml:space="preserve">, in A. </w:t>
      </w:r>
      <w:proofErr w:type="spellStart"/>
      <w:r w:rsidRPr="00CB7F51">
        <w:rPr>
          <w:rFonts w:ascii="Verdana" w:eastAsia="Times New Roman" w:hAnsi="Verdana" w:cs="Times New Roman"/>
          <w:color w:val="000000"/>
          <w:sz w:val="20"/>
          <w:szCs w:val="20"/>
        </w:rPr>
        <w:t>Perissa</w:t>
      </w:r>
      <w:proofErr w:type="spellEnd"/>
      <w:r w:rsidRPr="00CB7F51">
        <w:rPr>
          <w:rFonts w:ascii="Verdana" w:eastAsia="Times New Roman" w:hAnsi="Verdana" w:cs="Times New Roman"/>
          <w:color w:val="000000"/>
          <w:sz w:val="20"/>
          <w:szCs w:val="20"/>
        </w:rPr>
        <w:t xml:space="preserve"> </w:t>
      </w:r>
      <w:proofErr w:type="spellStart"/>
      <w:r w:rsidRPr="00CB7F51">
        <w:rPr>
          <w:rFonts w:ascii="Verdana" w:eastAsia="Times New Roman" w:hAnsi="Verdana" w:cs="Times New Roman"/>
          <w:color w:val="000000"/>
          <w:sz w:val="20"/>
          <w:szCs w:val="20"/>
        </w:rPr>
        <w:t>Torrini</w:t>
      </w:r>
      <w:proofErr w:type="spellEnd"/>
      <w:r w:rsidRPr="00CB7F51">
        <w:rPr>
          <w:rFonts w:ascii="Verdana" w:eastAsia="Times New Roman" w:hAnsi="Verdana" w:cs="Times New Roman"/>
          <w:color w:val="000000"/>
          <w:sz w:val="20"/>
          <w:szCs w:val="20"/>
        </w:rPr>
        <w:t xml:space="preserve"> (a cura di), </w:t>
      </w:r>
      <w:r w:rsidRPr="00CB7F51">
        <w:rPr>
          <w:rFonts w:ascii="Verdana" w:eastAsia="Times New Roman" w:hAnsi="Verdana" w:cs="Times New Roman"/>
          <w:i/>
          <w:color w:val="000000"/>
          <w:sz w:val="20"/>
          <w:szCs w:val="20"/>
        </w:rPr>
        <w:t>Leonardo da Vinci. L’uomo universale</w:t>
      </w:r>
      <w:r w:rsidRPr="00CB7F51">
        <w:rPr>
          <w:rFonts w:ascii="Verdana" w:eastAsia="Times New Roman" w:hAnsi="Verdana" w:cs="Times New Roman"/>
          <w:color w:val="000000"/>
          <w:sz w:val="20"/>
          <w:szCs w:val="20"/>
        </w:rPr>
        <w:t xml:space="preserve">, Giunti, Firenze 2013, pp. 31-39. Il disegno vinciano dell’Uomo vitruviano, impresso in forma indelebile nella nostra mente e canonizzato dall’immaginario globale, </w:t>
      </w:r>
      <w:r w:rsidRPr="00CB7F51">
        <w:rPr>
          <w:rFonts w:ascii="Verdana" w:eastAsia="Times New Roman" w:hAnsi="Verdana" w:cs="Times New Roman"/>
          <w:i/>
          <w:color w:val="000000"/>
          <w:sz w:val="20"/>
          <w:szCs w:val="20"/>
        </w:rPr>
        <w:t>restituisce, senza presumere di inventare alcunché</w:t>
      </w:r>
      <w:r w:rsidRPr="00CB7F51">
        <w:rPr>
          <w:rFonts w:ascii="Verdana" w:eastAsia="Times New Roman" w:hAnsi="Verdana" w:cs="Times New Roman"/>
          <w:color w:val="000000"/>
          <w:sz w:val="20"/>
          <w:szCs w:val="20"/>
        </w:rPr>
        <w:t xml:space="preserve">, il raccordo iconografico tra armonia delle forme anatomiche e regolarità dei paradigmi geometrici fondamentali (il cerchio e il quadrato), che presiedono alla costruzione di tutti gli edifici, mostrando l’interscambio analogico tra i concetti di fabbrica del corpo e generazione strutturale di ogni artefatto </w:t>
      </w:r>
      <w:r w:rsidRPr="00CB7F51">
        <w:rPr>
          <w:rFonts w:ascii="Verdana" w:eastAsia="Times New Roman" w:hAnsi="Verdana" w:cs="Times New Roman"/>
          <w:i/>
          <w:color w:val="000000"/>
          <w:sz w:val="20"/>
          <w:szCs w:val="20"/>
        </w:rPr>
        <w:t>volumetrico</w:t>
      </w:r>
      <w:r w:rsidRPr="00CB7F51">
        <w:rPr>
          <w:rFonts w:ascii="Verdana" w:eastAsia="Times New Roman" w:hAnsi="Verdana" w:cs="Times New Roman"/>
          <w:color w:val="000000"/>
          <w:sz w:val="20"/>
          <w:szCs w:val="20"/>
        </w:rPr>
        <w:t xml:space="preserve">. </w:t>
      </w:r>
      <w:proofErr w:type="spellStart"/>
      <w:r w:rsidRPr="00CB7F51">
        <w:rPr>
          <w:rFonts w:ascii="Verdana" w:eastAsia="Times New Roman" w:hAnsi="Verdana" w:cs="Times New Roman"/>
          <w:color w:val="000000"/>
          <w:sz w:val="20"/>
          <w:szCs w:val="20"/>
        </w:rPr>
        <w:t>Garin</w:t>
      </w:r>
      <w:proofErr w:type="spellEnd"/>
      <w:r w:rsidRPr="00CB7F51">
        <w:rPr>
          <w:rFonts w:ascii="Verdana" w:eastAsia="Times New Roman" w:hAnsi="Verdana" w:cs="Times New Roman"/>
          <w:color w:val="000000"/>
          <w:sz w:val="20"/>
          <w:szCs w:val="20"/>
        </w:rPr>
        <w:t xml:space="preserve">, peraltro, aveva già riconosciuto più di due lustri or sono una matrice organologica alla base degli studi architettonici e urbanistici di Leonardo. E. </w:t>
      </w:r>
      <w:proofErr w:type="spellStart"/>
      <w:r w:rsidRPr="00CB7F51">
        <w:rPr>
          <w:rFonts w:ascii="Verdana" w:eastAsia="Times New Roman" w:hAnsi="Verdana" w:cs="Times New Roman"/>
          <w:color w:val="000000"/>
          <w:sz w:val="20"/>
          <w:szCs w:val="20"/>
        </w:rPr>
        <w:t>Garin</w:t>
      </w:r>
      <w:proofErr w:type="spellEnd"/>
      <w:r w:rsidRPr="00CB7F51">
        <w:rPr>
          <w:rFonts w:ascii="Verdana" w:eastAsia="Times New Roman" w:hAnsi="Verdana" w:cs="Times New Roman"/>
          <w:color w:val="000000"/>
          <w:sz w:val="20"/>
          <w:szCs w:val="20"/>
        </w:rPr>
        <w:t xml:space="preserve">, </w:t>
      </w:r>
      <w:r w:rsidRPr="00CB7F51">
        <w:rPr>
          <w:rFonts w:ascii="Verdana" w:eastAsia="Times New Roman" w:hAnsi="Verdana" w:cs="Times New Roman"/>
          <w:i/>
          <w:color w:val="000000"/>
          <w:sz w:val="20"/>
          <w:szCs w:val="20"/>
        </w:rPr>
        <w:t>Scienza e vita civile nel Rinascimento italiano</w:t>
      </w:r>
      <w:r w:rsidRPr="00CB7F51">
        <w:rPr>
          <w:rFonts w:ascii="Verdana" w:eastAsia="Times New Roman" w:hAnsi="Verdana" w:cs="Times New Roman"/>
          <w:color w:val="000000"/>
          <w:sz w:val="20"/>
          <w:szCs w:val="20"/>
        </w:rPr>
        <w:t xml:space="preserve">, Laterza, Roma-Bari (1965) 1972, pp. 34-36: «La città dell’uomo, quale Leonardo la vagheggia, deve rispondere esattamente al ritmo naturale delle cose, rispettando una misura che è dovunque la stessa, proprio per la universale corrispondenza fra uomo e mondo; Id., </w:t>
      </w:r>
      <w:r w:rsidRPr="00CB7F51">
        <w:rPr>
          <w:rFonts w:ascii="Verdana" w:eastAsia="Times New Roman" w:hAnsi="Verdana" w:cs="Times New Roman"/>
          <w:i/>
          <w:color w:val="000000"/>
          <w:sz w:val="20"/>
          <w:szCs w:val="20"/>
        </w:rPr>
        <w:t>La città in Leonardo</w:t>
      </w:r>
      <w:r w:rsidRPr="00CB7F51">
        <w:rPr>
          <w:rFonts w:ascii="Verdana" w:eastAsia="Times New Roman" w:hAnsi="Verdana" w:cs="Times New Roman"/>
          <w:color w:val="000000"/>
          <w:sz w:val="20"/>
          <w:szCs w:val="20"/>
        </w:rPr>
        <w:t xml:space="preserve">, poi in P. Galluzzi (a cura di), </w:t>
      </w:r>
      <w:r w:rsidRPr="00CB7F51">
        <w:rPr>
          <w:rFonts w:ascii="Verdana" w:eastAsia="Times New Roman" w:hAnsi="Verdana" w:cs="Times New Roman"/>
          <w:i/>
          <w:color w:val="000000"/>
          <w:sz w:val="20"/>
          <w:szCs w:val="20"/>
        </w:rPr>
        <w:t>Leonardo da Vinci letto e commentato</w:t>
      </w:r>
      <w:r w:rsidRPr="00CB7F51">
        <w:rPr>
          <w:rFonts w:ascii="Verdana" w:eastAsia="Times New Roman" w:hAnsi="Verdana" w:cs="Times New Roman"/>
          <w:color w:val="000000"/>
          <w:sz w:val="20"/>
          <w:szCs w:val="20"/>
        </w:rPr>
        <w:t xml:space="preserve">, Giunti </w:t>
      </w:r>
      <w:proofErr w:type="spellStart"/>
      <w:r w:rsidRPr="00CB7F51">
        <w:rPr>
          <w:rFonts w:ascii="Verdana" w:eastAsia="Times New Roman" w:hAnsi="Verdana" w:cs="Times New Roman"/>
          <w:color w:val="000000"/>
          <w:sz w:val="20"/>
          <w:szCs w:val="20"/>
        </w:rPr>
        <w:t>Barbèra</w:t>
      </w:r>
      <w:proofErr w:type="spellEnd"/>
      <w:r w:rsidRPr="00CB7F51">
        <w:rPr>
          <w:rFonts w:ascii="Verdana" w:eastAsia="Times New Roman" w:hAnsi="Verdana" w:cs="Times New Roman"/>
          <w:color w:val="000000"/>
          <w:sz w:val="20"/>
          <w:szCs w:val="20"/>
        </w:rPr>
        <w:t xml:space="preserve">, Firenze 1974, pp. 309-325. Per un approfondimento critico e bibliografico dei precedenti spunti in chiave filosofico-politica, è raccomandato il rinvio a M. </w:t>
      </w:r>
      <w:proofErr w:type="spellStart"/>
      <w:r w:rsidRPr="00CB7F51">
        <w:rPr>
          <w:rFonts w:ascii="Verdana" w:eastAsia="Times New Roman" w:hAnsi="Verdana" w:cs="Times New Roman"/>
          <w:color w:val="000000"/>
          <w:sz w:val="20"/>
          <w:szCs w:val="20"/>
        </w:rPr>
        <w:t>Versiero</w:t>
      </w:r>
      <w:proofErr w:type="spellEnd"/>
      <w:r w:rsidRPr="00CB7F51">
        <w:rPr>
          <w:rFonts w:ascii="Verdana" w:eastAsia="Times New Roman" w:hAnsi="Verdana" w:cs="Times New Roman"/>
          <w:color w:val="000000"/>
          <w:sz w:val="20"/>
          <w:szCs w:val="20"/>
        </w:rPr>
        <w:t xml:space="preserve">, </w:t>
      </w:r>
      <w:r w:rsidRPr="00CB7F51">
        <w:rPr>
          <w:rFonts w:ascii="Verdana" w:eastAsia="Times New Roman" w:hAnsi="Verdana" w:cs="Times New Roman"/>
          <w:i/>
          <w:color w:val="000000"/>
          <w:sz w:val="20"/>
          <w:szCs w:val="20"/>
        </w:rPr>
        <w:t>Per un lessico politico di Leonardo da Vinci. I. La metafora organologica della città come “corpo politico”</w:t>
      </w:r>
      <w:r w:rsidRPr="00CB7F51">
        <w:rPr>
          <w:rFonts w:ascii="Verdana" w:eastAsia="Times New Roman" w:hAnsi="Verdana" w:cs="Times New Roman"/>
          <w:color w:val="000000"/>
          <w:sz w:val="20"/>
          <w:szCs w:val="20"/>
        </w:rPr>
        <w:t>, in «</w:t>
      </w:r>
      <w:proofErr w:type="spellStart"/>
      <w:r w:rsidRPr="00CB7F51">
        <w:rPr>
          <w:rFonts w:ascii="Verdana" w:eastAsia="Times New Roman" w:hAnsi="Verdana" w:cs="Times New Roman"/>
          <w:color w:val="000000"/>
          <w:sz w:val="20"/>
          <w:szCs w:val="20"/>
        </w:rPr>
        <w:t>Bruniana</w:t>
      </w:r>
      <w:proofErr w:type="spellEnd"/>
      <w:r w:rsidRPr="00CB7F51">
        <w:rPr>
          <w:rFonts w:ascii="Verdana" w:eastAsia="Times New Roman" w:hAnsi="Verdana" w:cs="Times New Roman"/>
          <w:color w:val="000000"/>
          <w:sz w:val="20"/>
          <w:szCs w:val="20"/>
        </w:rPr>
        <w:t xml:space="preserve"> &amp; </w:t>
      </w:r>
      <w:proofErr w:type="spellStart"/>
      <w:r w:rsidRPr="00CB7F51">
        <w:rPr>
          <w:rFonts w:ascii="Verdana" w:eastAsia="Times New Roman" w:hAnsi="Verdana" w:cs="Times New Roman"/>
          <w:color w:val="000000"/>
          <w:sz w:val="20"/>
          <w:szCs w:val="20"/>
        </w:rPr>
        <w:t>Campanelliana</w:t>
      </w:r>
      <w:proofErr w:type="spellEnd"/>
      <w:r w:rsidRPr="00CB7F51">
        <w:rPr>
          <w:rFonts w:ascii="Verdana" w:eastAsia="Times New Roman" w:hAnsi="Verdana" w:cs="Times New Roman"/>
          <w:color w:val="000000"/>
          <w:sz w:val="20"/>
          <w:szCs w:val="20"/>
        </w:rPr>
        <w:t>», 13, 2, 2007, pp. 537-556.</w:t>
      </w:r>
    </w:p>
    <w:p w14:paraId="00000027" w14:textId="77777777" w:rsidR="00922161" w:rsidRPr="00CB7F51" w:rsidRDefault="00922161" w:rsidP="00CB7F51">
      <w:pPr>
        <w:pBdr>
          <w:top w:val="nil"/>
          <w:left w:val="nil"/>
          <w:bottom w:val="nil"/>
          <w:right w:val="nil"/>
          <w:between w:val="nil"/>
        </w:pBdr>
        <w:spacing w:after="0" w:line="240" w:lineRule="auto"/>
        <w:jc w:val="both"/>
        <w:rPr>
          <w:rFonts w:ascii="Verdana" w:hAnsi="Verdana"/>
          <w:color w:val="000000"/>
          <w:sz w:val="20"/>
          <w:szCs w:val="20"/>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B02E46"/>
    <w:multiLevelType w:val="multilevel"/>
    <w:tmpl w:val="D5CEC922"/>
    <w:lvl w:ilvl="0">
      <w:start w:val="1"/>
      <w:numFmt w:val="decimal"/>
      <w:lvlText w:val="%1."/>
      <w:lvlJc w:val="left"/>
      <w:pPr>
        <w:ind w:left="720" w:hanging="360"/>
      </w:pPr>
      <w:rPr>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2D3F7352"/>
    <w:multiLevelType w:val="hybridMultilevel"/>
    <w:tmpl w:val="88361BF4"/>
    <w:lvl w:ilvl="0" w:tplc="DE921448">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48BD4756"/>
    <w:multiLevelType w:val="hybridMultilevel"/>
    <w:tmpl w:val="5ACCA936"/>
    <w:lvl w:ilvl="0" w:tplc="063A28FA">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6"/>
  <w:doNotDisplayPageBoundaries/>
  <w:hideSpellingErrors/>
  <w:hideGrammaticalErrors/>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2161"/>
    <w:rsid w:val="00282F4C"/>
    <w:rsid w:val="0042580B"/>
    <w:rsid w:val="005B0FA7"/>
    <w:rsid w:val="00643F87"/>
    <w:rsid w:val="00646BC7"/>
    <w:rsid w:val="00771B58"/>
    <w:rsid w:val="00922161"/>
    <w:rsid w:val="00B912E9"/>
    <w:rsid w:val="00C62044"/>
    <w:rsid w:val="00CB7F51"/>
    <w:rsid w:val="00EA236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7BEAE3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paragraph" w:styleId="Testonotaapidipagina">
    <w:name w:val="footnote text"/>
    <w:basedOn w:val="Normale"/>
    <w:link w:val="TestonotaapidipaginaCarattere"/>
    <w:uiPriority w:val="99"/>
    <w:semiHidden/>
    <w:unhideWhenUsed/>
    <w:rsid w:val="00CB7F51"/>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CB7F51"/>
    <w:rPr>
      <w:sz w:val="20"/>
      <w:szCs w:val="20"/>
    </w:rPr>
  </w:style>
  <w:style w:type="character" w:styleId="Rimandonotaapidipagina">
    <w:name w:val="footnote reference"/>
    <w:basedOn w:val="Carpredefinitoparagrafo"/>
    <w:uiPriority w:val="99"/>
    <w:semiHidden/>
    <w:unhideWhenUsed/>
    <w:rsid w:val="00CB7F51"/>
    <w:rPr>
      <w:vertAlign w:val="superscript"/>
    </w:rPr>
  </w:style>
  <w:style w:type="paragraph" w:styleId="Paragrafoelenco">
    <w:name w:val="List Paragraph"/>
    <w:basedOn w:val="Normale"/>
    <w:uiPriority w:val="34"/>
    <w:qFormat/>
    <w:rsid w:val="00CB7F5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paragraph" w:styleId="Testonotaapidipagina">
    <w:name w:val="footnote text"/>
    <w:basedOn w:val="Normale"/>
    <w:link w:val="TestonotaapidipaginaCarattere"/>
    <w:uiPriority w:val="99"/>
    <w:semiHidden/>
    <w:unhideWhenUsed/>
    <w:rsid w:val="00CB7F51"/>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CB7F51"/>
    <w:rPr>
      <w:sz w:val="20"/>
      <w:szCs w:val="20"/>
    </w:rPr>
  </w:style>
  <w:style w:type="character" w:styleId="Rimandonotaapidipagina">
    <w:name w:val="footnote reference"/>
    <w:basedOn w:val="Carpredefinitoparagrafo"/>
    <w:uiPriority w:val="99"/>
    <w:semiHidden/>
    <w:unhideWhenUsed/>
    <w:rsid w:val="00CB7F51"/>
    <w:rPr>
      <w:vertAlign w:val="superscript"/>
    </w:rPr>
  </w:style>
  <w:style w:type="paragraph" w:styleId="Paragrafoelenco">
    <w:name w:val="List Paragraph"/>
    <w:basedOn w:val="Normale"/>
    <w:uiPriority w:val="34"/>
    <w:qFormat/>
    <w:rsid w:val="00CB7F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0A974D-CCF0-41F9-8600-9B3B495EBA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3465</Words>
  <Characters>19756</Characters>
  <Application>Microsoft Office Word</Application>
  <DocSecurity>0</DocSecurity>
  <Lines>164</Lines>
  <Paragraphs>46</Paragraphs>
  <ScaleCrop>false</ScaleCrop>
  <HeadingPairs>
    <vt:vector size="2" baseType="variant">
      <vt:variant>
        <vt:lpstr>Titolo</vt:lpstr>
      </vt:variant>
      <vt:variant>
        <vt:i4>1</vt:i4>
      </vt:variant>
    </vt:vector>
  </HeadingPairs>
  <TitlesOfParts>
    <vt:vector size="1" baseType="lpstr">
      <vt:lpstr/>
    </vt:vector>
  </TitlesOfParts>
  <Company>Scuola Superiore Sant'Anna</Company>
  <LinksUpToDate>false</LinksUpToDate>
  <CharactersWithSpaces>23175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dc:creator>
  <cp:lastModifiedBy>Barbara Henry</cp:lastModifiedBy>
  <cp:revision>3</cp:revision>
  <dcterms:created xsi:type="dcterms:W3CDTF">2023-08-09T11:21:00Z</dcterms:created>
  <dcterms:modified xsi:type="dcterms:W3CDTF">2023-09-20T17:02:00Z</dcterms:modified>
</cp:coreProperties>
</file>