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2">
      <w:pPr>
        <w:pStyle w:val="Title"/>
        <w:jc w:val="center"/>
        <w:rPr>
          <w:rFonts w:ascii="Times New Roman" w:cs="Times New Roman" w:eastAsia="Times New Roman" w:hAnsi="Times New Roman"/>
          <w:b w:val="1"/>
          <w:sz w:val="32"/>
          <w:szCs w:val="32"/>
        </w:rPr>
      </w:pPr>
      <w:bookmarkStart w:colFirst="0" w:colLast="0" w:name="_heading=h.wiae5rdmog7h" w:id="0"/>
      <w:bookmarkEnd w:id="0"/>
      <w:r w:rsidDel="00000000" w:rsidR="00000000" w:rsidRPr="00000000">
        <w:rPr>
          <w:rFonts w:ascii="Times New Roman" w:cs="Times New Roman" w:eastAsia="Times New Roman" w:hAnsi="Times New Roman"/>
          <w:b w:val="1"/>
          <w:sz w:val="32"/>
          <w:szCs w:val="32"/>
          <w:rtl w:val="0"/>
        </w:rPr>
        <w:t xml:space="preserve">The Future of Personalized Privacy Assistants: Gathering of </w:t>
      </w:r>
      <w:r w:rsidDel="00000000" w:rsidR="00000000" w:rsidRPr="00000000">
        <w:rPr>
          <w:rFonts w:ascii="Times New Roman" w:cs="Times New Roman" w:eastAsia="Times New Roman" w:hAnsi="Times New Roman"/>
          <w:b w:val="1"/>
          <w:sz w:val="32"/>
          <w:szCs w:val="32"/>
          <w:rtl w:val="0"/>
        </w:rPr>
        <w:t xml:space="preserve">Expert Opinions</w:t>
      </w:r>
      <w:r w:rsidDel="00000000" w:rsidR="00000000" w:rsidRPr="00000000">
        <w:rPr>
          <w:rtl w:val="0"/>
        </w:rPr>
      </w:r>
    </w:p>
    <w:p w:rsidR="00000000" w:rsidDel="00000000" w:rsidP="00000000" w:rsidRDefault="00000000" w:rsidRPr="00000000" w14:paraId="00000003">
      <w:pPr>
        <w:ind w:firstLine="0"/>
        <w:rPr/>
      </w:pPr>
      <w:r w:rsidDel="00000000" w:rsidR="00000000" w:rsidRPr="00000000">
        <w:rPr>
          <w:rtl w:val="0"/>
        </w:rPr>
      </w:r>
    </w:p>
    <w:p w:rsidR="00000000" w:rsidDel="00000000" w:rsidP="00000000" w:rsidRDefault="00000000" w:rsidRPr="00000000" w14:paraId="00000004">
      <w:pPr>
        <w:pStyle w:val="Heading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Abstract</w:t>
      </w:r>
    </w:p>
    <w:p w:rsidR="00000000" w:rsidDel="00000000" w:rsidP="00000000" w:rsidRDefault="00000000" w:rsidRPr="00000000" w14:paraId="00000005">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One-size-fits-all privacy notices and data decisions may no longer suffice for modern privacy management. Personalization, through personalized privacy assistants (PPAs), offers a potential solution. These assistants aim to provide tailored transparency disclosures and assist individuals in making decisions about their data. To actualize a future with PPAs, this paper presents findings from two expert focus groups that explore the challenges of developing these tools. Guided by the three dimensions of agency, accuracy, and accountability, and utilizing backcasting activities, we identified that hybrid PPAs are more desirable and welcomed by experts. However, the approaches to achieving a hybrid PPA that tackle concerns on accuracy, agency, and accountability were not agreed upon. Second, we highlight three main takeaways for successfully implementing PPAs: (1) user agency must be respected, (2) multiple stakeholders should be involved in developing, operating, and improving PPAs, and (3) interoperable standards are fundamental for successful deployment. We conclude that PPAs, or perhaps any technology concerning privacy, are not just matters for technology- or industry- initiatives and cannot be achieved by one stakeholder. Governments, enforcement agencies, and users must take a more proactive role to ensure that such technologies are of the people, by the people, and for the people.</w:t>
      </w:r>
    </w:p>
    <w:p w:rsidR="00000000" w:rsidDel="00000000" w:rsidP="00000000" w:rsidRDefault="00000000" w:rsidRPr="00000000" w14:paraId="00000006">
      <w:pPr>
        <w:ind w:firstLine="0"/>
        <w:rPr/>
      </w:pPr>
      <w:r w:rsidDel="00000000" w:rsidR="00000000" w:rsidRPr="00000000">
        <w:rPr>
          <w:rtl w:val="0"/>
        </w:rPr>
      </w:r>
    </w:p>
    <w:p w:rsidR="00000000" w:rsidDel="00000000" w:rsidP="00000000" w:rsidRDefault="00000000" w:rsidRPr="00000000" w14:paraId="00000007">
      <w:pPr>
        <w:pStyle w:val="Heading1"/>
        <w:rPr>
          <w:rFonts w:ascii="Times New Roman" w:cs="Times New Roman" w:eastAsia="Times New Roman" w:hAnsi="Times New Roman"/>
          <w:sz w:val="28"/>
          <w:szCs w:val="28"/>
        </w:rPr>
      </w:pPr>
      <w:bookmarkStart w:colFirst="0" w:colLast="0" w:name="_heading=h.xz6pxnm14c5z" w:id="1"/>
      <w:bookmarkEnd w:id="1"/>
      <w:r w:rsidDel="00000000" w:rsidR="00000000" w:rsidRPr="00000000">
        <w:rPr>
          <w:rFonts w:ascii="Times New Roman" w:cs="Times New Roman" w:eastAsia="Times New Roman" w:hAnsi="Times New Roman"/>
          <w:sz w:val="28"/>
          <w:szCs w:val="28"/>
          <w:rtl w:val="0"/>
        </w:rPr>
        <w:t xml:space="preserve">1 Introduction </w:t>
      </w:r>
    </w:p>
    <w:p w:rsidR="00000000" w:rsidDel="00000000" w:rsidP="00000000" w:rsidRDefault="00000000" w:rsidRPr="00000000" w14:paraId="00000008">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times when data-driven personalization of services is rampant, with heavy concerns about its opacity, targeted manipulation, and discrimination (See for example, </w:t>
      </w:r>
      <w:r w:rsidDel="00000000" w:rsidR="00000000" w:rsidRPr="00000000">
        <w:rPr>
          <w:rFonts w:ascii="Times New Roman" w:cs="Times New Roman" w:eastAsia="Times New Roman" w:hAnsi="Times New Roman"/>
          <w:color w:val="000000"/>
          <w:sz w:val="24"/>
          <w:szCs w:val="24"/>
          <w:rtl w:val="0"/>
        </w:rPr>
        <w:t xml:space="preserve">Schelenz et al., 2020; Tufekci, 2015)</w:t>
      </w:r>
      <w:r w:rsidDel="00000000" w:rsidR="00000000" w:rsidRPr="00000000">
        <w:rPr>
          <w:rFonts w:ascii="Times New Roman" w:cs="Times New Roman" w:eastAsia="Times New Roman" w:hAnsi="Times New Roman"/>
          <w:sz w:val="24"/>
          <w:szCs w:val="24"/>
          <w:rtl w:val="0"/>
        </w:rPr>
        <w:t xml:space="preserve">, we ask whether it is possible to use personalized approaches to the benefit of individuals. In particular, we aim to understand whether a personalized approach can solve the long-standing issue of non-readership of privacy information and consequent uninformed decision-making </w:t>
      </w:r>
      <w:r w:rsidDel="00000000" w:rsidR="00000000" w:rsidRPr="00000000">
        <w:rPr>
          <w:rFonts w:ascii="Times New Roman" w:cs="Times New Roman" w:eastAsia="Times New Roman" w:hAnsi="Times New Roman"/>
          <w:color w:val="000000"/>
          <w:sz w:val="24"/>
          <w:szCs w:val="24"/>
          <w:rtl w:val="0"/>
        </w:rPr>
        <w:t xml:space="preserve">(Obar &amp; Oeldorf-Hirsch, 2020; Steinfeld, 2016)</w:t>
      </w:r>
      <w:r w:rsidDel="00000000" w:rsidR="00000000" w:rsidRPr="00000000">
        <w:rPr>
          <w:rFonts w:ascii="Times New Roman" w:cs="Times New Roman" w:eastAsia="Times New Roman" w:hAnsi="Times New Roman"/>
          <w:sz w:val="24"/>
          <w:szCs w:val="24"/>
          <w:rtl w:val="0"/>
        </w:rPr>
        <w:t xml:space="preserve"> on one’s own data or whether it will repeat the same defeat of existing privacy disclosure measures. </w:t>
      </w:r>
    </w:p>
    <w:p w:rsidR="00000000" w:rsidDel="00000000" w:rsidP="00000000" w:rsidRDefault="00000000" w:rsidRPr="00000000" w14:paraId="0000000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pursue this goal by gathering multidisciplinary and interdisciplinary expert opinions. To facilitate the discussions among experts</w:t>
      </w:r>
      <w:r w:rsidDel="00000000" w:rsidR="00000000" w:rsidRPr="00000000">
        <w:rPr>
          <w:rFonts w:ascii="Times New Roman" w:cs="Times New Roman" w:eastAsia="Times New Roman" w:hAnsi="Times New Roman"/>
          <w:color w:val="137333"/>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we created concrete, realistic, and fictitious scenarios where a personalized privacy assistant (PPA) provides personalized information disclosures to individuals and supports their individual decisions on their data with varying degrees of automation, ranging from fully </w:t>
      </w:r>
      <w:r w:rsidDel="00000000" w:rsidR="00000000" w:rsidRPr="00000000">
        <w:rPr>
          <w:rFonts w:ascii="Times New Roman" w:cs="Times New Roman" w:eastAsia="Times New Roman" w:hAnsi="Times New Roman"/>
          <w:i w:val="1"/>
          <w:sz w:val="24"/>
          <w:szCs w:val="24"/>
          <w:rtl w:val="0"/>
        </w:rPr>
        <w:t xml:space="preserve">manual</w:t>
      </w:r>
      <w:r w:rsidDel="00000000" w:rsidR="00000000" w:rsidRPr="00000000">
        <w:rPr>
          <w:rFonts w:ascii="Times New Roman" w:cs="Times New Roman" w:eastAsia="Times New Roman" w:hAnsi="Times New Roman"/>
          <w:sz w:val="24"/>
          <w:szCs w:val="24"/>
          <w:rtl w:val="0"/>
        </w:rPr>
        <w:t xml:space="preserve"> configurations requiring active user input to </w:t>
      </w:r>
      <w:r w:rsidDel="00000000" w:rsidR="00000000" w:rsidRPr="00000000">
        <w:rPr>
          <w:rFonts w:ascii="Times New Roman" w:cs="Times New Roman" w:eastAsia="Times New Roman" w:hAnsi="Times New Roman"/>
          <w:i w:val="1"/>
          <w:sz w:val="24"/>
          <w:szCs w:val="24"/>
          <w:rtl w:val="0"/>
        </w:rPr>
        <w:t xml:space="preserve">hybrid</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fully automated</w:t>
      </w:r>
      <w:r w:rsidDel="00000000" w:rsidR="00000000" w:rsidRPr="00000000">
        <w:rPr>
          <w:rFonts w:ascii="Times New Roman" w:cs="Times New Roman" w:eastAsia="Times New Roman" w:hAnsi="Times New Roman"/>
          <w:sz w:val="24"/>
          <w:szCs w:val="24"/>
          <w:rtl w:val="0"/>
        </w:rPr>
        <w:t xml:space="preserve"> setups that function without user intervention. </w:t>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examine the feasibility of a personalized approach to privacy disclosures and data decisions, we have sought to identify critical themes, necessary actions, and relevant stakeholders that should be involved. We focused on three main overarching dimensions: the </w:t>
      </w:r>
      <w:r w:rsidDel="00000000" w:rsidR="00000000" w:rsidRPr="00000000">
        <w:rPr>
          <w:rFonts w:ascii="Times New Roman" w:cs="Times New Roman" w:eastAsia="Times New Roman" w:hAnsi="Times New Roman"/>
          <w:i w:val="1"/>
          <w:sz w:val="24"/>
          <w:szCs w:val="24"/>
          <w:rtl w:val="0"/>
        </w:rPr>
        <w:t xml:space="preserve">accuracy</w:t>
      </w:r>
      <w:r w:rsidDel="00000000" w:rsidR="00000000" w:rsidRPr="00000000">
        <w:rPr>
          <w:rFonts w:ascii="Times New Roman" w:cs="Times New Roman" w:eastAsia="Times New Roman" w:hAnsi="Times New Roman"/>
          <w:sz w:val="24"/>
          <w:szCs w:val="24"/>
          <w:rtl w:val="0"/>
        </w:rPr>
        <w:t xml:space="preserve"> of a PPA’s inferences, decisions, and actions; the </w:t>
      </w:r>
      <w:r w:rsidDel="00000000" w:rsidR="00000000" w:rsidRPr="00000000">
        <w:rPr>
          <w:rFonts w:ascii="Times New Roman" w:cs="Times New Roman" w:eastAsia="Times New Roman" w:hAnsi="Times New Roman"/>
          <w:i w:val="1"/>
          <w:sz w:val="24"/>
          <w:szCs w:val="24"/>
          <w:rtl w:val="0"/>
        </w:rPr>
        <w:t xml:space="preserve">agency</w:t>
      </w:r>
      <w:r w:rsidDel="00000000" w:rsidR="00000000" w:rsidRPr="00000000">
        <w:rPr>
          <w:rFonts w:ascii="Times New Roman" w:cs="Times New Roman" w:eastAsia="Times New Roman" w:hAnsi="Times New Roman"/>
          <w:sz w:val="24"/>
          <w:szCs w:val="24"/>
          <w:rtl w:val="0"/>
        </w:rPr>
        <w:t xml:space="preserve"> of a PPA when it takes decisions on behalf of a human being and the agency of the human being in such situations; and the </w:t>
      </w:r>
      <w:r w:rsidDel="00000000" w:rsidR="00000000" w:rsidRPr="00000000">
        <w:rPr>
          <w:rFonts w:ascii="Times New Roman" w:cs="Times New Roman" w:eastAsia="Times New Roman" w:hAnsi="Times New Roman"/>
          <w:i w:val="1"/>
          <w:sz w:val="24"/>
          <w:szCs w:val="24"/>
          <w:rtl w:val="0"/>
        </w:rPr>
        <w:t xml:space="preserve">accountability</w:t>
      </w:r>
      <w:r w:rsidDel="00000000" w:rsidR="00000000" w:rsidRPr="00000000">
        <w:rPr>
          <w:rFonts w:ascii="Times New Roman" w:cs="Times New Roman" w:eastAsia="Times New Roman" w:hAnsi="Times New Roman"/>
          <w:sz w:val="24"/>
          <w:szCs w:val="24"/>
          <w:rtl w:val="0"/>
        </w:rPr>
        <w:t xml:space="preserve"> of a PPA and the humans behind such as PPA developers. We used backcasting techniques </w:t>
      </w:r>
      <w:r w:rsidDel="00000000" w:rsidR="00000000" w:rsidRPr="00000000">
        <w:rPr>
          <w:rFonts w:ascii="Times New Roman" w:cs="Times New Roman" w:eastAsia="Times New Roman" w:hAnsi="Times New Roman"/>
          <w:color w:val="000000"/>
          <w:sz w:val="24"/>
          <w:szCs w:val="24"/>
          <w:rtl w:val="0"/>
        </w:rPr>
        <w:t xml:space="preserve">(Quist, 2016)</w:t>
      </w:r>
      <w:r w:rsidDel="00000000" w:rsidR="00000000" w:rsidRPr="00000000">
        <w:rPr>
          <w:rFonts w:ascii="Times New Roman" w:cs="Times New Roman" w:eastAsia="Times New Roman" w:hAnsi="Times New Roman"/>
          <w:sz w:val="24"/>
          <w:szCs w:val="24"/>
          <w:rtl w:val="0"/>
        </w:rPr>
        <w:t xml:space="preserve"> to pinpoint the steps and actions necessary to achieve a future with PPA implementation. </w:t>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paper is structured as follows: Section 2 presents the research that motivates this study. Section 3 identifies the research gaps and formulates the research questions, followed by the methodology in Section 4. Sections 5 and 6 present the results of two expert focus groups. Section 7 discusses three key takeaways from the expert focus groups that are crucial toward a viable future with personalized privacy assistants. </w:t>
      </w:r>
    </w:p>
    <w:p w:rsidR="00000000" w:rsidDel="00000000" w:rsidP="00000000" w:rsidRDefault="00000000" w:rsidRPr="00000000" w14:paraId="0000000C">
      <w:pPr>
        <w:pStyle w:val="Heading1"/>
        <w:rPr>
          <w:rFonts w:ascii="Times New Roman" w:cs="Times New Roman" w:eastAsia="Times New Roman" w:hAnsi="Times New Roman"/>
          <w:sz w:val="28"/>
          <w:szCs w:val="28"/>
        </w:rPr>
      </w:pPr>
      <w:bookmarkStart w:colFirst="0" w:colLast="0" w:name="_heading=h.y3syq6ofzfy1" w:id="2"/>
      <w:bookmarkEnd w:id="2"/>
      <w:r w:rsidDel="00000000" w:rsidR="00000000" w:rsidRPr="00000000">
        <w:rPr>
          <w:rFonts w:ascii="Times New Roman" w:cs="Times New Roman" w:eastAsia="Times New Roman" w:hAnsi="Times New Roman"/>
          <w:sz w:val="28"/>
          <w:szCs w:val="28"/>
          <w:rtl w:val="0"/>
        </w:rPr>
        <w:t xml:space="preserve">2 Literature Review </w:t>
      </w:r>
    </w:p>
    <w:p w:rsidR="00000000" w:rsidDel="00000000" w:rsidP="00000000" w:rsidRDefault="00000000" w:rsidRPr="00000000" w14:paraId="0000000D">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issues of one-size-fits-all approaches to privacy have been widely discussed, especially regarding mandated privacy disclosures such as boilerplate privacy policies. The uniform, text-based privacy policies are criticized for their extensive length </w:t>
      </w:r>
      <w:r w:rsidDel="00000000" w:rsidR="00000000" w:rsidRPr="00000000">
        <w:rPr>
          <w:rFonts w:ascii="Times New Roman" w:cs="Times New Roman" w:eastAsia="Times New Roman" w:hAnsi="Times New Roman"/>
          <w:color w:val="000000"/>
          <w:sz w:val="24"/>
          <w:szCs w:val="24"/>
          <w:rtl w:val="0"/>
        </w:rPr>
        <w:t xml:space="preserve">(Furnell &amp; Phippen, 2012; Linden et al., 2018)</w:t>
      </w:r>
      <w:r w:rsidDel="00000000" w:rsidR="00000000" w:rsidRPr="00000000">
        <w:rPr>
          <w:rFonts w:ascii="Times New Roman" w:cs="Times New Roman" w:eastAsia="Times New Roman" w:hAnsi="Times New Roman"/>
          <w:sz w:val="24"/>
          <w:szCs w:val="24"/>
          <w:rtl w:val="0"/>
        </w:rPr>
        <w:t xml:space="preserve"> and lack of understandability </w:t>
      </w:r>
      <w:r w:rsidDel="00000000" w:rsidR="00000000" w:rsidRPr="00000000">
        <w:rPr>
          <w:rFonts w:ascii="Times New Roman" w:cs="Times New Roman" w:eastAsia="Times New Roman" w:hAnsi="Times New Roman"/>
          <w:color w:val="000000"/>
          <w:sz w:val="24"/>
          <w:szCs w:val="24"/>
          <w:rtl w:val="0"/>
        </w:rPr>
        <w:t xml:space="preserve">(Ibdah et al., 2021; Kununka et al., 2017; Proctor et al., 2008; Reidenberg et al., 2015; Vail et al., 2008; Vu et al., 2007)</w:t>
      </w:r>
      <w:r w:rsidDel="00000000" w:rsidR="00000000" w:rsidRPr="00000000">
        <w:rPr>
          <w:rFonts w:ascii="Times New Roman" w:cs="Times New Roman" w:eastAsia="Times New Roman" w:hAnsi="Times New Roman"/>
          <w:sz w:val="24"/>
          <w:szCs w:val="24"/>
          <w:rtl w:val="0"/>
        </w:rPr>
        <w:t xml:space="preserve"> due to complex and vague language, wall-of-text display and presentation at the wrong time, and the lack of familiarity of lay people with privacy notions and risks (Rossi et al. 2019). Due to these characteristics, privacy policies often fail to facilitate users’ informed decision-making regarding their personal data since most users do not read privacy policies </w:t>
      </w:r>
      <w:r w:rsidDel="00000000" w:rsidR="00000000" w:rsidRPr="00000000">
        <w:rPr>
          <w:rFonts w:ascii="Times New Roman" w:cs="Times New Roman" w:eastAsia="Times New Roman" w:hAnsi="Times New Roman"/>
          <w:color w:val="000000"/>
          <w:sz w:val="24"/>
          <w:szCs w:val="24"/>
          <w:rtl w:val="0"/>
        </w:rPr>
        <w:t xml:space="preserve">(Obar &amp; Oeldorf-Hirsch, 2020)</w:t>
      </w:r>
      <w:r w:rsidDel="00000000" w:rsidR="00000000" w:rsidRPr="00000000">
        <w:rPr>
          <w:rFonts w:ascii="Times New Roman" w:cs="Times New Roman" w:eastAsia="Times New Roman" w:hAnsi="Times New Roman"/>
          <w:sz w:val="24"/>
          <w:szCs w:val="24"/>
          <w:rtl w:val="0"/>
        </w:rPr>
        <w:t xml:space="preserve">. Partly, the failure to enhance user decision-making stems from the fact that privacy notices are often designed not just for the informational needs of users </w:t>
      </w:r>
      <w:r w:rsidDel="00000000" w:rsidR="00000000" w:rsidRPr="00000000">
        <w:rPr>
          <w:rFonts w:ascii="Times New Roman" w:cs="Times New Roman" w:eastAsia="Times New Roman" w:hAnsi="Times New Roman"/>
          <w:color w:val="000000"/>
          <w:sz w:val="24"/>
          <w:szCs w:val="24"/>
          <w:rtl w:val="0"/>
        </w:rPr>
        <w:t xml:space="preserve">(Ding &amp; Huang, 2024; Xu et al., 2024)</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E">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researchers challenge the “notice and choice” paradigm, in which notice involves “presentation of terms,” and choice refers to “an action signifying acceptance of the terms” </w:t>
      </w:r>
      <w:r w:rsidDel="00000000" w:rsidR="00000000" w:rsidRPr="00000000">
        <w:rPr>
          <w:rFonts w:ascii="Times New Roman" w:cs="Times New Roman" w:eastAsia="Times New Roman" w:hAnsi="Times New Roman"/>
          <w:color w:val="000000"/>
          <w:sz w:val="24"/>
          <w:szCs w:val="24"/>
          <w:rtl w:val="0"/>
        </w:rPr>
        <w:t xml:space="preserve">(Sloan &amp; Warner, 2014, p. 374)</w:t>
      </w:r>
      <w:r w:rsidDel="00000000" w:rsidR="00000000" w:rsidRPr="00000000">
        <w:rPr>
          <w:rFonts w:ascii="Times New Roman" w:cs="Times New Roman" w:eastAsia="Times New Roman" w:hAnsi="Times New Roman"/>
          <w:sz w:val="24"/>
          <w:szCs w:val="24"/>
          <w:rtl w:val="0"/>
        </w:rPr>
        <w:t xml:space="preserve">. Sloan and Warner argue that user consent often amounts to “a merely passive acquiescence” (p.382) in accepting the terms of a service provider rather than being an affirmative action. In this sense, a notice will not lead to meaningful consent if individuals do not have the actual knowledge of the terms offered. </w:t>
      </w:r>
      <w:r w:rsidDel="00000000" w:rsidR="00000000" w:rsidRPr="00000000">
        <w:rPr>
          <w:rFonts w:ascii="Times New Roman" w:cs="Times New Roman" w:eastAsia="Times New Roman" w:hAnsi="Times New Roman"/>
          <w:color w:val="000000"/>
          <w:sz w:val="24"/>
          <w:szCs w:val="24"/>
          <w:rtl w:val="0"/>
        </w:rPr>
        <w:t xml:space="preserve">Knijnenburg et al. (2022)</w:t>
      </w:r>
      <w:r w:rsidDel="00000000" w:rsidR="00000000" w:rsidRPr="00000000">
        <w:rPr>
          <w:rFonts w:ascii="Times New Roman" w:cs="Times New Roman" w:eastAsia="Times New Roman" w:hAnsi="Times New Roman"/>
          <w:sz w:val="24"/>
          <w:szCs w:val="24"/>
          <w:rtl w:val="0"/>
        </w:rPr>
        <w:t xml:space="preserve"> identify two significant limitations of this paradigm. The first is the </w:t>
      </w:r>
      <w:r w:rsidDel="00000000" w:rsidR="00000000" w:rsidRPr="00000000">
        <w:rPr>
          <w:rFonts w:ascii="Times New Roman" w:cs="Times New Roman" w:eastAsia="Times New Roman" w:hAnsi="Times New Roman"/>
          <w:i w:val="1"/>
          <w:sz w:val="24"/>
          <w:szCs w:val="24"/>
          <w:rtl w:val="0"/>
        </w:rPr>
        <w:t xml:space="preserve">transparency paradox</w:t>
      </w:r>
      <w:r w:rsidDel="00000000" w:rsidR="00000000" w:rsidRPr="00000000">
        <w:rPr>
          <w:rFonts w:ascii="Times New Roman" w:cs="Times New Roman" w:eastAsia="Times New Roman" w:hAnsi="Times New Roman"/>
          <w:sz w:val="24"/>
          <w:szCs w:val="24"/>
          <w:rtl w:val="0"/>
        </w:rPr>
        <w:t xml:space="preserve">, originally proposed by </w:t>
      </w:r>
      <w:r w:rsidDel="00000000" w:rsidR="00000000" w:rsidRPr="00000000">
        <w:rPr>
          <w:rFonts w:ascii="Times New Roman" w:cs="Times New Roman" w:eastAsia="Times New Roman" w:hAnsi="Times New Roman"/>
          <w:color w:val="000000"/>
          <w:sz w:val="24"/>
          <w:szCs w:val="24"/>
          <w:rtl w:val="0"/>
        </w:rPr>
        <w:t xml:space="preserve">Nissenbaum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2011)</w:t>
      </w:r>
      <w:r w:rsidDel="00000000" w:rsidR="00000000" w:rsidRPr="00000000">
        <w:rPr>
          <w:rFonts w:ascii="Times New Roman" w:cs="Times New Roman" w:eastAsia="Times New Roman" w:hAnsi="Times New Roman"/>
          <w:sz w:val="24"/>
          <w:szCs w:val="24"/>
          <w:rtl w:val="0"/>
        </w:rPr>
        <w:t xml:space="preserve">, which states that the more comprehensive and accurate privacy notices describe, the less likely users are to read or fully understand their content. The second is the </w:t>
      </w:r>
      <w:r w:rsidDel="00000000" w:rsidR="00000000" w:rsidRPr="00000000">
        <w:rPr>
          <w:rFonts w:ascii="Times New Roman" w:cs="Times New Roman" w:eastAsia="Times New Roman" w:hAnsi="Times New Roman"/>
          <w:i w:val="1"/>
          <w:sz w:val="24"/>
          <w:szCs w:val="24"/>
          <w:rtl w:val="0"/>
        </w:rPr>
        <w:t xml:space="preserve">control paradox</w:t>
      </w:r>
      <w:r w:rsidDel="00000000" w:rsidR="00000000" w:rsidRPr="00000000">
        <w:rPr>
          <w:rFonts w:ascii="Times New Roman" w:cs="Times New Roman" w:eastAsia="Times New Roman" w:hAnsi="Times New Roman"/>
          <w:sz w:val="24"/>
          <w:szCs w:val="24"/>
          <w:rtl w:val="0"/>
        </w:rPr>
        <w:t xml:space="preserve">, as described by </w:t>
      </w:r>
      <w:r w:rsidDel="00000000" w:rsidR="00000000" w:rsidRPr="00000000">
        <w:rPr>
          <w:rFonts w:ascii="Times New Roman" w:cs="Times New Roman" w:eastAsia="Times New Roman" w:hAnsi="Times New Roman"/>
          <w:color w:val="000000"/>
          <w:sz w:val="24"/>
          <w:szCs w:val="24"/>
          <w:rtl w:val="0"/>
        </w:rPr>
        <w:t xml:space="preserve">Compañó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color w:val="000000"/>
          <w:sz w:val="24"/>
          <w:szCs w:val="24"/>
          <w:rtl w:val="0"/>
        </w:rPr>
        <w:t xml:space="preserve"> Lusoli </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000000"/>
          <w:sz w:val="24"/>
          <w:szCs w:val="24"/>
          <w:rtl w:val="0"/>
        </w:rPr>
        <w:t xml:space="preserve">2010)</w:t>
      </w:r>
      <w:r w:rsidDel="00000000" w:rsidR="00000000" w:rsidRPr="00000000">
        <w:rPr>
          <w:rFonts w:ascii="Times New Roman" w:cs="Times New Roman" w:eastAsia="Times New Roman" w:hAnsi="Times New Roman"/>
          <w:sz w:val="24"/>
          <w:szCs w:val="24"/>
          <w:rtl w:val="0"/>
        </w:rPr>
        <w:t xml:space="preserve">, in which although users desire complete control over their personal data, they often fail to take the necessary actions to exercise and maintain that control. </w:t>
      </w:r>
    </w:p>
    <w:p w:rsidR="00000000" w:rsidDel="00000000" w:rsidP="00000000" w:rsidRDefault="00000000" w:rsidRPr="00000000" w14:paraId="0000000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Personalization is proposed as a possible solution to ameliorate the limits of transparency and excessive data-related decisions that overwhelm individuals. Personalization developments in smart environments can often be categorized under PPAs. PPAs are defined as “</w:t>
      </w:r>
      <w:r w:rsidDel="00000000" w:rsidR="00000000" w:rsidRPr="00000000">
        <w:rPr>
          <w:rFonts w:ascii="Times New Roman" w:cs="Times New Roman" w:eastAsia="Times New Roman" w:hAnsi="Times New Roman"/>
          <w:i w:val="1"/>
          <w:sz w:val="24"/>
          <w:szCs w:val="24"/>
          <w:rtl w:val="0"/>
        </w:rPr>
        <w:t xml:space="preserve">intelligent agents capable of learning the privacy preferences of their users over time, semi-automatically configuring many settings, and making many privacy decisions on their behalf</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(Personalized Privacy Assistant Project</w:t>
      </w:r>
      <w:r w:rsidDel="00000000" w:rsidR="00000000" w:rsidRPr="00000000">
        <w:rPr>
          <w:rFonts w:ascii="Times New Roman" w:cs="Times New Roman" w:eastAsia="Times New Roman" w:hAnsi="Times New Roman"/>
          <w:sz w:val="24"/>
          <w:szCs w:val="24"/>
          <w:rtl w:val="0"/>
        </w:rPr>
        <w:t xml:space="preserve">, accessed 2024). Although deployable PPAs are not yet readily available on the market, current research on PPAs and personalization for user-centered privacy protection reveals that applicable designs already exist. Studies have explored possible PPA functions, including personalized disclosures </w:t>
      </w:r>
      <w:r w:rsidDel="00000000" w:rsidR="00000000" w:rsidRPr="00000000">
        <w:rPr>
          <w:rFonts w:ascii="Times New Roman" w:cs="Times New Roman" w:eastAsia="Times New Roman" w:hAnsi="Times New Roman"/>
          <w:color w:val="000000"/>
          <w:sz w:val="24"/>
          <w:szCs w:val="24"/>
          <w:rtl w:val="0"/>
        </w:rPr>
        <w:t xml:space="preserve">(K.-C. Chang &amp; Barber, 2023; Ferreira et al., 2015; Liu et al., 2016; Siegal et al., 2012; Wettlaufer &amp; Simo, 2020)</w:t>
      </w:r>
      <w:r w:rsidDel="00000000" w:rsidR="00000000" w:rsidRPr="00000000">
        <w:rPr>
          <w:rFonts w:ascii="Times New Roman" w:cs="Times New Roman" w:eastAsia="Times New Roman" w:hAnsi="Times New Roman"/>
          <w:sz w:val="24"/>
          <w:szCs w:val="24"/>
          <w:rtl w:val="0"/>
        </w:rPr>
        <w:t xml:space="preserve">, personalized explanations </w:t>
      </w:r>
      <w:r w:rsidDel="00000000" w:rsidR="00000000" w:rsidRPr="00000000">
        <w:rPr>
          <w:rFonts w:ascii="Times New Roman" w:cs="Times New Roman" w:eastAsia="Times New Roman" w:hAnsi="Times New Roman"/>
          <w:color w:val="000000"/>
          <w:sz w:val="24"/>
          <w:szCs w:val="24"/>
          <w:rtl w:val="0"/>
        </w:rPr>
        <w:t xml:space="preserve">(C. Chang et al., 2019; Dammu et al., 2021)</w:t>
      </w:r>
      <w:r w:rsidDel="00000000" w:rsidR="00000000" w:rsidRPr="00000000">
        <w:rPr>
          <w:rFonts w:ascii="Times New Roman" w:cs="Times New Roman" w:eastAsia="Times New Roman" w:hAnsi="Times New Roman"/>
          <w:sz w:val="24"/>
          <w:szCs w:val="24"/>
          <w:rtl w:val="0"/>
        </w:rPr>
        <w:t xml:space="preserve">, personalized privacy decision recommendations </w:t>
      </w:r>
      <w:r w:rsidDel="00000000" w:rsidR="00000000" w:rsidRPr="00000000">
        <w:rPr>
          <w:rFonts w:ascii="Times New Roman" w:cs="Times New Roman" w:eastAsia="Times New Roman" w:hAnsi="Times New Roman"/>
          <w:color w:val="000000"/>
          <w:sz w:val="24"/>
          <w:szCs w:val="24"/>
          <w:rtl w:val="0"/>
        </w:rPr>
        <w:t xml:space="preserve">(Abuelgasim &amp; Kayem, 2016; Knijnenburg, 2017; Liu et al., 2016; Nakamura et al., 2016, 2017)</w:t>
      </w:r>
      <w:r w:rsidDel="00000000" w:rsidR="00000000" w:rsidRPr="00000000">
        <w:rPr>
          <w:rFonts w:ascii="Times New Roman" w:cs="Times New Roman" w:eastAsia="Times New Roman" w:hAnsi="Times New Roman"/>
          <w:sz w:val="24"/>
          <w:szCs w:val="24"/>
          <w:rtl w:val="0"/>
        </w:rPr>
        <w:t xml:space="preserve">, and automated PPA decision-making </w:t>
      </w:r>
      <w:r w:rsidDel="00000000" w:rsidR="00000000" w:rsidRPr="00000000">
        <w:rPr>
          <w:rFonts w:ascii="Times New Roman" w:cs="Times New Roman" w:eastAsia="Times New Roman" w:hAnsi="Times New Roman"/>
          <w:color w:val="000000"/>
          <w:sz w:val="24"/>
          <w:szCs w:val="24"/>
          <w:rtl w:val="0"/>
        </w:rPr>
        <w:t xml:space="preserve">(Dammu et al., 2021; Lee &amp; Kwon, 2015; Namara et al., 2018)</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optimally fulfill these functions, a system can incorporate active user inputs, such as a user’s expressed privacy preferences </w:t>
      </w:r>
      <w:r w:rsidDel="00000000" w:rsidR="00000000" w:rsidRPr="00000000">
        <w:rPr>
          <w:rFonts w:ascii="Times New Roman" w:cs="Times New Roman" w:eastAsia="Times New Roman" w:hAnsi="Times New Roman"/>
          <w:color w:val="000000"/>
          <w:sz w:val="24"/>
          <w:szCs w:val="24"/>
          <w:rtl w:val="0"/>
        </w:rPr>
        <w:t xml:space="preserve">(C. Chang et al., 2019; Karwatzki et al., 2017; Liu et al., 2016; Wisniewski et al., 2017)</w:t>
      </w:r>
      <w:r w:rsidDel="00000000" w:rsidR="00000000" w:rsidRPr="00000000">
        <w:rPr>
          <w:rFonts w:ascii="Times New Roman" w:cs="Times New Roman" w:eastAsia="Times New Roman" w:hAnsi="Times New Roman"/>
          <w:sz w:val="24"/>
          <w:szCs w:val="24"/>
          <w:rtl w:val="0"/>
        </w:rPr>
        <w:t xml:space="preserve">. Some designs also explore the use of personal data—like personality traits </w:t>
      </w:r>
      <w:r w:rsidDel="00000000" w:rsidR="00000000" w:rsidRPr="00000000">
        <w:rPr>
          <w:rFonts w:ascii="Times New Roman" w:cs="Times New Roman" w:eastAsia="Times New Roman" w:hAnsi="Times New Roman"/>
          <w:color w:val="000000"/>
          <w:sz w:val="24"/>
          <w:szCs w:val="24"/>
          <w:rtl w:val="0"/>
        </w:rPr>
        <w:t xml:space="preserve">(Porat &amp; Strahilevitz, 2013; Wang et al., 2015)</w:t>
      </w:r>
      <w:r w:rsidDel="00000000" w:rsidR="00000000" w:rsidRPr="00000000">
        <w:rPr>
          <w:rFonts w:ascii="Times New Roman" w:cs="Times New Roman" w:eastAsia="Times New Roman" w:hAnsi="Times New Roman"/>
          <w:sz w:val="24"/>
          <w:szCs w:val="24"/>
          <w:rtl w:val="0"/>
        </w:rPr>
        <w:t xml:space="preserve"> —to improve the accuracy of privacy recommendations. A system may also incorporate implicit inputs for personalization, such as dynamic metadata generated by user interactions with a system or service </w:t>
      </w:r>
      <w:r w:rsidDel="00000000" w:rsidR="00000000" w:rsidRPr="00000000">
        <w:rPr>
          <w:rFonts w:ascii="Times New Roman" w:cs="Times New Roman" w:eastAsia="Times New Roman" w:hAnsi="Times New Roman"/>
          <w:color w:val="000000"/>
          <w:sz w:val="24"/>
          <w:szCs w:val="24"/>
          <w:rtl w:val="0"/>
        </w:rPr>
        <w:t xml:space="preserve">(Pandit et al., 2018)</w:t>
      </w:r>
      <w:r w:rsidDel="00000000" w:rsidR="00000000" w:rsidRPr="00000000">
        <w:rPr>
          <w:rFonts w:ascii="Times New Roman" w:cs="Times New Roman" w:eastAsia="Times New Roman" w:hAnsi="Times New Roman"/>
          <w:sz w:val="24"/>
          <w:szCs w:val="24"/>
          <w:rtl w:val="0"/>
        </w:rPr>
        <w:t xml:space="preserve">. Additionally, some systems use data unrelated to their users, such as privacy recommendations of expert users </w:t>
      </w:r>
      <w:r w:rsidDel="00000000" w:rsidR="00000000" w:rsidRPr="00000000">
        <w:rPr>
          <w:rFonts w:ascii="Times New Roman" w:cs="Times New Roman" w:eastAsia="Times New Roman" w:hAnsi="Times New Roman"/>
          <w:color w:val="000000"/>
          <w:sz w:val="24"/>
          <w:szCs w:val="24"/>
          <w:rtl w:val="0"/>
        </w:rPr>
        <w:t xml:space="preserve">(Rashidi et al., 2015)</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1">
      <w:pPr>
        <w:spacing w:after="240" w:before="24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Current research on PPAs and personalization for privacy protection at large often focuses on specific contexts or usage scenarios, such as smartphones (C. Chang et al., 2019; Liu et al., 2016), Internet of Things (K.-C. Chang &amp; Barber, 2023; Colnago et al., 2020; Das et al., 2018, Marky et al., 2024), or social media platforms (Abuelgasim &amp; Kayem, 2016; Dammu et al., 2021). This creates a gap in developing a universal PPA that empowers users with control over their digital data </w:t>
      </w:r>
      <w:r w:rsidDel="00000000" w:rsidR="00000000" w:rsidRPr="00000000">
        <w:rPr>
          <w:rFonts w:ascii="Times New Roman" w:cs="Times New Roman" w:eastAsia="Times New Roman" w:hAnsi="Times New Roman"/>
          <w:i w:val="1"/>
          <w:sz w:val="24"/>
          <w:szCs w:val="24"/>
          <w:rtl w:val="0"/>
        </w:rPr>
        <w:t xml:space="preserve">in general</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2">
      <w:pPr>
        <w:spacing w:after="240" w:before="240" w:lineRule="auto"/>
        <w:ind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Recent empirical work has also begun to capture end-users’ expectations and perceptions regarding PPAs. Colnago et al. (2020) interviewed participants about PPAs with three automation levels (notification, recommendation, and automatic decision-making). Based on user feedback, they recommended PPAs to have a modular design and to allow users to decide on the level of automation. Building on this, Stöver et al. (2023) surveyed a broader sample and comprehensively explored users’ expectations on PPAs. They found that users primarily prefer a PPA that sets privacy defaults based on their privacy preferences and alerts them when an App wants to access sensitive personal information. Marky et al. (2024) explored user preferences on PPA autonomy using a survey and found that users in general preferred the recommendation function but switched to automated decision-making when privacy requests became too many. </w:t>
      </w:r>
      <w:r w:rsidDel="00000000" w:rsidR="00000000" w:rsidRPr="00000000">
        <w:rPr>
          <w:rFonts w:ascii="Times New Roman" w:cs="Times New Roman" w:eastAsia="Times New Roman" w:hAnsi="Times New Roman"/>
          <w:color w:val="0000ff"/>
          <w:sz w:val="24"/>
          <w:szCs w:val="24"/>
          <w:rtl w:val="0"/>
        </w:rPr>
        <w:t xml:space="preserve">These studies shed light on important user-centric design elements for PPA, as well as voicing end-user expectations and concerns. We think they can be further complemented by expert perspectives on PPAs to evaluate their real-world feasibility. </w:t>
      </w:r>
      <w:r w:rsidDel="00000000" w:rsidR="00000000" w:rsidRPr="00000000">
        <w:rPr>
          <w:rtl w:val="0"/>
        </w:rPr>
      </w:r>
    </w:p>
    <w:p w:rsidR="00000000" w:rsidDel="00000000" w:rsidP="00000000" w:rsidRDefault="00000000" w:rsidRPr="00000000" w14:paraId="00000013">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Looking at the currently available technologies, while Apple’s AppTrackingTransparency (ATT)</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significantly improves user control and transparency, it is limited to Apple devices. Likewise, cookie-management tools such as Consent-O-Matic</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can automate responses to consent pop-ups based on user preferences. However, due to a lack of interoperability standards for consent management platforms, these tools need to rely on adversarial interoperability </w:t>
      </w:r>
      <w:r w:rsidDel="00000000" w:rsidR="00000000" w:rsidRPr="00000000">
        <w:rPr>
          <w:rFonts w:ascii="Times New Roman" w:cs="Times New Roman" w:eastAsia="Times New Roman" w:hAnsi="Times New Roman"/>
          <w:color w:val="000000"/>
          <w:sz w:val="24"/>
          <w:szCs w:val="24"/>
          <w:rtl w:val="0"/>
        </w:rPr>
        <w:t xml:space="preserve">(Nouwens et al., 2022)</w:t>
      </w:r>
      <w:r w:rsidDel="00000000" w:rsidR="00000000" w:rsidRPr="00000000">
        <w:rPr>
          <w:rFonts w:ascii="Times New Roman" w:cs="Times New Roman" w:eastAsia="Times New Roman" w:hAnsi="Times New Roman"/>
          <w:sz w:val="24"/>
          <w:szCs w:val="24"/>
          <w:rtl w:val="0"/>
        </w:rPr>
        <w:t xml:space="preserve">, which might require manual adaptation for each platform. As a result, they may not work on every website and can face delays when updating for compatibility.</w:t>
      </w:r>
    </w:p>
    <w:p w:rsidR="00000000" w:rsidDel="00000000" w:rsidP="00000000" w:rsidRDefault="00000000" w:rsidRPr="00000000" w14:paraId="00000014">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way to empower the universality of privacy management and PPAs is then perhaps a paradigm shift that lets users retain control of their own data in personal data spaces </w:t>
      </w:r>
      <w:r w:rsidDel="00000000" w:rsidR="00000000" w:rsidRPr="00000000">
        <w:rPr>
          <w:rFonts w:ascii="Times New Roman" w:cs="Times New Roman" w:eastAsia="Times New Roman" w:hAnsi="Times New Roman"/>
          <w:color w:val="000000"/>
          <w:sz w:val="24"/>
          <w:szCs w:val="24"/>
          <w:rtl w:val="0"/>
        </w:rPr>
        <w:t xml:space="preserve">(European Commission: Joint Research Centre</w:t>
      </w:r>
      <w:r w:rsidDel="00000000" w:rsidR="00000000" w:rsidRPr="00000000">
        <w:rPr>
          <w:rFonts w:ascii="Times New Roman" w:cs="Times New Roman" w:eastAsia="Times New Roman" w:hAnsi="Times New Roman"/>
          <w:sz w:val="24"/>
          <w:szCs w:val="24"/>
          <w:rtl w:val="0"/>
        </w:rPr>
        <w:t xml:space="preserve"> et al., </w:t>
      </w:r>
      <w:r w:rsidDel="00000000" w:rsidR="00000000" w:rsidRPr="00000000">
        <w:rPr>
          <w:rFonts w:ascii="Times New Roman" w:cs="Times New Roman" w:eastAsia="Times New Roman" w:hAnsi="Times New Roman"/>
          <w:color w:val="000000"/>
          <w:sz w:val="24"/>
          <w:szCs w:val="24"/>
          <w:rtl w:val="0"/>
        </w:rPr>
        <w:t xml:space="preserve">2024)</w:t>
      </w:r>
      <w:r w:rsidDel="00000000" w:rsidR="00000000" w:rsidRPr="00000000">
        <w:rPr>
          <w:rFonts w:ascii="Times New Roman" w:cs="Times New Roman" w:eastAsia="Times New Roman" w:hAnsi="Times New Roman"/>
          <w:sz w:val="24"/>
          <w:szCs w:val="24"/>
          <w:rtl w:val="0"/>
        </w:rPr>
        <w:t xml:space="preserve"> instead of disseminating the data across numberless organizations. There are decentralization efforts like Solid</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a specification aimed to enable individuals to securely store their data in decentralized data stores known as Pods. Solid Pod owners can determine which individuals, businesses, or governmental bodies can access and re-use their data stored in Pods. Such user-centered personal data governance systems have been categorized under the Data Governance Act (DGA) as a special type of “data intermediation services” that offers services to improve the agency of data subjects and ease their capacity to exercise their GDPR rights, including personal data spaces (Recital 30). </w:t>
      </w:r>
    </w:p>
    <w:p w:rsidR="00000000" w:rsidDel="00000000" w:rsidP="00000000" w:rsidRDefault="00000000" w:rsidRPr="00000000" w14:paraId="00000015">
      <w:pPr>
        <w:pStyle w:val="Heading1"/>
        <w:rPr>
          <w:rFonts w:ascii="Times New Roman" w:cs="Times New Roman" w:eastAsia="Times New Roman" w:hAnsi="Times New Roman"/>
          <w:sz w:val="28"/>
          <w:szCs w:val="28"/>
        </w:rPr>
      </w:pPr>
      <w:bookmarkStart w:colFirst="0" w:colLast="0" w:name="_heading=h.d95ay8lv1r2m" w:id="3"/>
      <w:bookmarkEnd w:id="3"/>
      <w:r w:rsidDel="00000000" w:rsidR="00000000" w:rsidRPr="00000000">
        <w:rPr>
          <w:rFonts w:ascii="Times New Roman" w:cs="Times New Roman" w:eastAsia="Times New Roman" w:hAnsi="Times New Roman"/>
          <w:sz w:val="28"/>
          <w:szCs w:val="28"/>
          <w:rtl w:val="0"/>
        </w:rPr>
        <w:t xml:space="preserve">3 Research Gap and Research Question</w:t>
      </w:r>
    </w:p>
    <w:p w:rsidR="00000000" w:rsidDel="00000000" w:rsidP="00000000" w:rsidRDefault="00000000" w:rsidRPr="00000000" w14:paraId="00000016">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current discussion on PPAs and personalization for privacy protection is concentrated within a few disciplines, such as human-computer interaction and machine learning. This underlines the need for a multidisciplinary and thorough exploration of PPAs, including development strategies, practical implications, benefits, related challenges, and the balance between personalization's ethical, legal, and societal aspects (ELSA). Therefore, we decided to engage with experts from various fields to delve into the question: </w:t>
      </w:r>
      <w:r w:rsidDel="00000000" w:rsidR="00000000" w:rsidRPr="00000000">
        <w:rPr>
          <w:rFonts w:ascii="Times New Roman" w:cs="Times New Roman" w:eastAsia="Times New Roman" w:hAnsi="Times New Roman"/>
          <w:i w:val="1"/>
          <w:sz w:val="24"/>
          <w:szCs w:val="24"/>
          <w:rtl w:val="0"/>
        </w:rPr>
        <w:t xml:space="preserve">What are the technical, social, and legal issues that need to be addressed for us to embrace a future where personalized privacy assistants provide tailored transparency disclosures and assist individuals with decisions concerning their data?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Is that a desirable future at all</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Specifically, we intend to situate the experts in terms of how different levels of automation during PPA setup (fully manual, hybrid, and fully automated) would influence their perceptions of the accuracy, agency, and accountability of PPAs. The three dimensions were chosen not only due to their relevance for the current discourse around autonomous agents, such as the principles for trustworthy AI development </w:t>
      </w:r>
      <w:r w:rsidDel="00000000" w:rsidR="00000000" w:rsidRPr="00000000">
        <w:rPr>
          <w:rFonts w:ascii="Times New Roman" w:cs="Times New Roman" w:eastAsia="Times New Roman" w:hAnsi="Times New Roman"/>
          <w:color w:val="000000"/>
          <w:sz w:val="24"/>
          <w:szCs w:val="24"/>
          <w:rtl w:val="0"/>
        </w:rPr>
        <w:t xml:space="preserve">(H</w:t>
      </w:r>
      <w:r w:rsidDel="00000000" w:rsidR="00000000" w:rsidRPr="00000000">
        <w:rPr>
          <w:rFonts w:ascii="Times New Roman" w:cs="Times New Roman" w:eastAsia="Times New Roman" w:hAnsi="Times New Roman"/>
          <w:sz w:val="24"/>
          <w:szCs w:val="24"/>
          <w:rtl w:val="0"/>
        </w:rPr>
        <w:t xml:space="preserve">LEG</w:t>
      </w:r>
      <w:r w:rsidDel="00000000" w:rsidR="00000000" w:rsidRPr="00000000">
        <w:rPr>
          <w:rFonts w:ascii="Times New Roman" w:cs="Times New Roman" w:eastAsia="Times New Roman" w:hAnsi="Times New Roman"/>
          <w:color w:val="000000"/>
          <w:sz w:val="24"/>
          <w:szCs w:val="24"/>
          <w:rtl w:val="0"/>
        </w:rPr>
        <w:t xml:space="preserve">, 2019)</w:t>
      </w:r>
      <w:r w:rsidDel="00000000" w:rsidR="00000000" w:rsidRPr="00000000">
        <w:rPr>
          <w:rFonts w:ascii="Times New Roman" w:cs="Times New Roman" w:eastAsia="Times New Roman" w:hAnsi="Times New Roman"/>
          <w:sz w:val="24"/>
          <w:szCs w:val="24"/>
          <w:rtl w:val="0"/>
        </w:rPr>
        <w:t xml:space="preserve">, but also because of their alignment with fundamental principles in the General Data Protection Regulation (GDPR). In particular, the principles of accuracy and accountability denote two pillars of EU data protection law: accuracy ensures that the data processed about an individual is factually correct, thus leading to a faithful representation that limits the risks derived from inaccurate data (e.g., a wrong treatment); while accountability ensures that the entity processing the data takes responsibility for the data processing activities and is able to demonstrate its compliance with the principles of data protection law </w:t>
      </w:r>
      <w:r w:rsidDel="00000000" w:rsidR="00000000" w:rsidRPr="00000000">
        <w:rPr>
          <w:rFonts w:ascii="Times New Roman" w:cs="Times New Roman" w:eastAsia="Times New Roman" w:hAnsi="Times New Roman"/>
          <w:color w:val="000000"/>
          <w:sz w:val="24"/>
          <w:szCs w:val="24"/>
          <w:rtl w:val="0"/>
        </w:rPr>
        <w:t xml:space="preserve">(European Data Protection Board, 2019)</w:t>
      </w:r>
      <w:r w:rsidDel="00000000" w:rsidR="00000000" w:rsidRPr="00000000">
        <w:rPr>
          <w:rFonts w:ascii="Times New Roman" w:cs="Times New Roman" w:eastAsia="Times New Roman" w:hAnsi="Times New Roman"/>
          <w:sz w:val="24"/>
          <w:szCs w:val="24"/>
          <w:rtl w:val="0"/>
        </w:rPr>
        <w:t xml:space="preserve">. Both accuracy and accountability — as well as interpretations of accuracy towards competency and thereby requesting PPA providers to ensure competent decisions </w:t>
      </w:r>
      <w:r w:rsidDel="00000000" w:rsidR="00000000" w:rsidRPr="00000000">
        <w:rPr>
          <w:rFonts w:ascii="Times New Roman" w:cs="Times New Roman" w:eastAsia="Times New Roman" w:hAnsi="Times New Roman"/>
          <w:color w:val="000000"/>
          <w:sz w:val="24"/>
          <w:szCs w:val="24"/>
          <w:rtl w:val="0"/>
        </w:rPr>
        <w:t xml:space="preserve">(Tamò-Larrieux, 2021)</w:t>
      </w:r>
      <w:r w:rsidDel="00000000" w:rsidR="00000000" w:rsidRPr="00000000">
        <w:rPr>
          <w:rFonts w:ascii="Times New Roman" w:cs="Times New Roman" w:eastAsia="Times New Roman" w:hAnsi="Times New Roman"/>
          <w:sz w:val="24"/>
          <w:szCs w:val="24"/>
          <w:rtl w:val="0"/>
        </w:rPr>
        <w:t xml:space="preserve"> — are central to enabling human agency, the last dimension of PPAs we analyzed. </w:t>
      </w:r>
      <w:r w:rsidDel="00000000" w:rsidR="00000000" w:rsidRPr="00000000">
        <w:rPr>
          <w:rFonts w:ascii="Times New Roman" w:cs="Times New Roman" w:eastAsia="Times New Roman" w:hAnsi="Times New Roman"/>
          <w:sz w:val="24"/>
          <w:szCs w:val="24"/>
          <w:rtl w:val="0"/>
        </w:rPr>
        <w:t xml:space="preserve">Agency</w:t>
      </w:r>
      <w:r w:rsidDel="00000000" w:rsidR="00000000" w:rsidRPr="00000000">
        <w:rPr>
          <w:rFonts w:ascii="Times New Roman" w:cs="Times New Roman" w:eastAsia="Times New Roman" w:hAnsi="Times New Roman"/>
          <w:sz w:val="24"/>
          <w:szCs w:val="24"/>
          <w:rtl w:val="0"/>
        </w:rPr>
        <w:t xml:space="preserve"> is also central to current discussions on autonomous agents (Sankaran et al., 2020; Solove &amp; Matsumi, 2023) and their impacts on human autonomy and decision-making. The fundamental principles of data processing, such as transparency and fairness, are also key building blocks to ensure PPAs provide informed, fair assistance to individuals without overriding their decision-making abilities and processes. </w:t>
      </w:r>
    </w:p>
    <w:p w:rsidR="00000000" w:rsidDel="00000000" w:rsidP="00000000" w:rsidRDefault="00000000" w:rsidRPr="00000000" w14:paraId="00000018">
      <w:pPr>
        <w:pStyle w:val="Heading1"/>
        <w:rPr>
          <w:rFonts w:ascii="Times New Roman" w:cs="Times New Roman" w:eastAsia="Times New Roman" w:hAnsi="Times New Roman"/>
          <w:sz w:val="28"/>
          <w:szCs w:val="28"/>
        </w:rPr>
      </w:pPr>
      <w:bookmarkStart w:colFirst="0" w:colLast="0" w:name="_heading=h.j1snp5lco37" w:id="4"/>
      <w:bookmarkEnd w:id="4"/>
      <w:r w:rsidDel="00000000" w:rsidR="00000000" w:rsidRPr="00000000">
        <w:rPr>
          <w:rFonts w:ascii="Times New Roman" w:cs="Times New Roman" w:eastAsia="Times New Roman" w:hAnsi="Times New Roman"/>
          <w:sz w:val="28"/>
          <w:szCs w:val="28"/>
          <w:rtl w:val="0"/>
        </w:rPr>
        <w:t xml:space="preserve">4 Methodology</w:t>
      </w:r>
    </w:p>
    <w:p w:rsidR="00000000" w:rsidDel="00000000" w:rsidP="00000000" w:rsidRDefault="00000000" w:rsidRPr="00000000" w14:paraId="00000019">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Based on these three crucial dimensions, two expert focus groups were organized to reveal critical insights on PPAs and the requirements, steps necessary for PPAs to be realistically implemented and the challenges to overcome.</w:t>
      </w:r>
    </w:p>
    <w:p w:rsidR="00000000" w:rsidDel="00000000" w:rsidP="00000000" w:rsidRDefault="00000000" w:rsidRPr="00000000" w14:paraId="0000001A">
      <w:pPr>
        <w:pStyle w:val="Heading2"/>
        <w:ind w:firstLine="0"/>
        <w:rPr>
          <w:rFonts w:ascii="Times New Roman" w:cs="Times New Roman" w:eastAsia="Times New Roman" w:hAnsi="Times New Roman"/>
          <w:sz w:val="24"/>
          <w:szCs w:val="24"/>
        </w:rPr>
      </w:pPr>
      <w:bookmarkStart w:colFirst="0" w:colLast="0" w:name="_heading=h.4c08npj29v4" w:id="5"/>
      <w:bookmarkEnd w:id="5"/>
      <w:r w:rsidDel="00000000" w:rsidR="00000000" w:rsidRPr="00000000">
        <w:rPr>
          <w:rFonts w:ascii="Times New Roman" w:cs="Times New Roman" w:eastAsia="Times New Roman" w:hAnsi="Times New Roman"/>
          <w:sz w:val="24"/>
          <w:szCs w:val="24"/>
          <w:rtl w:val="0"/>
        </w:rPr>
        <w:t xml:space="preserve">4.1 Focus group participants and organization</w:t>
      </w:r>
    </w:p>
    <w:p w:rsidR="00000000" w:rsidDel="00000000" w:rsidP="00000000" w:rsidRDefault="00000000" w:rsidRPr="00000000" w14:paraId="0000001B">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two focus groups were held in English and targeted different groups of experts. The first one was conducted in a hybrid format in February 2023 in a city in Italy. It was supported by COST (European Cooperation in Science and Technology) Action funding and was part of a COST Action workshop. The second was in-person and was organized at a Dutch University in May 2023. We used purposive sampling to invite participants. Participants of both focus groups read the information letter and signed consent forms before the start of the focus groups. The composition of activities and experts for the focus groups is presented in Table 1 below. </w:t>
      </w:r>
    </w:p>
    <w:tbl>
      <w:tblPr>
        <w:tblStyle w:val="Table1"/>
        <w:tblpPr w:leftFromText="180" w:rightFromText="180" w:topFromText="0" w:bottomFromText="0" w:vertAnchor="text" w:horzAnchor="text" w:tblpX="-100" w:tblpY="360"/>
        <w:tblW w:w="948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35"/>
        <w:gridCol w:w="2655"/>
        <w:gridCol w:w="1455"/>
        <w:gridCol w:w="1485"/>
        <w:gridCol w:w="2250"/>
        <w:tblGridChange w:id="0">
          <w:tblGrid>
            <w:gridCol w:w="1635"/>
            <w:gridCol w:w="2655"/>
            <w:gridCol w:w="1455"/>
            <w:gridCol w:w="1485"/>
            <w:gridCol w:w="225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spacing w:line="240" w:lineRule="auto"/>
              <w:ind w:right="51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Focus groups </w:t>
            </w:r>
          </w:p>
        </w:tc>
        <w:tc>
          <w:tcPr>
            <w:shd w:fill="auto" w:val="clear"/>
            <w:tcMar>
              <w:top w:w="100.0" w:type="dxa"/>
              <w:left w:w="100.0" w:type="dxa"/>
              <w:bottom w:w="100.0" w:type="dxa"/>
              <w:right w:w="100.0" w:type="dxa"/>
            </w:tcMar>
          </w:tcPr>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Activity  </w:t>
            </w:r>
          </w:p>
        </w:tc>
        <w:tc>
          <w:tcPr>
            <w:shd w:fill="auto" w:val="clear"/>
            <w:tcMar>
              <w:top w:w="100.0" w:type="dxa"/>
              <w:left w:w="100.0" w:type="dxa"/>
              <w:bottom w:w="100.0" w:type="dxa"/>
              <w:right w:w="100.0" w:type="dxa"/>
            </w:tcMar>
          </w:tcPr>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Duration (min)</w:t>
            </w:r>
          </w:p>
        </w:tc>
        <w:tc>
          <w:tcPr>
            <w:shd w:fill="auto" w:val="clear"/>
            <w:tcMar>
              <w:top w:w="100.0" w:type="dxa"/>
              <w:left w:w="100.0" w:type="dxa"/>
              <w:bottom w:w="100.0" w:type="dxa"/>
              <w:right w:w="100.0" w:type="dxa"/>
            </w:tcMar>
          </w:tcPr>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 participants </w:t>
            </w:r>
          </w:p>
        </w:tc>
        <w:tc>
          <w:tcPr>
            <w:shd w:fill="auto" w:val="clear"/>
            <w:tcMar>
              <w:top w:w="100.0" w:type="dxa"/>
              <w:left w:w="100.0" w:type="dxa"/>
              <w:bottom w:w="100.0" w:type="dxa"/>
              <w:right w:w="100.0" w:type="dxa"/>
            </w:tcMar>
          </w:tcPr>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Expertise </w:t>
            </w:r>
          </w:p>
        </w:tc>
      </w:tr>
      <w:tr>
        <w:trPr>
          <w:cantSplit w:val="0"/>
          <w:trHeight w:val="400" w:hRule="atLeast"/>
          <w:tblHeader w:val="0"/>
        </w:trPr>
        <w:tc>
          <w:tcPr>
            <w:vMerge w:val="restart"/>
            <w:shd w:fill="auto" w:val="clear"/>
            <w:tcMar>
              <w:top w:w="100.0" w:type="dxa"/>
              <w:left w:w="100.0" w:type="dxa"/>
              <w:bottom w:w="100.0" w:type="dxa"/>
              <w:right w:w="100.0" w:type="dxa"/>
            </w:tcMar>
          </w:tcPr>
          <w:p w:rsidR="00000000" w:rsidDel="00000000" w:rsidP="00000000" w:rsidRDefault="00000000" w:rsidRPr="00000000" w14:paraId="00000021">
            <w:pPr>
              <w:widowControl w:val="0"/>
              <w:pBdr>
                <w:top w:space="0" w:sz="0" w:val="nil"/>
                <w:left w:space="0" w:sz="0" w:val="nil"/>
                <w:bottom w:space="0" w:sz="0" w:val="nil"/>
                <w:right w:space="0" w:sz="0" w:val="nil"/>
                <w:between w:space="0" w:sz="0" w:val="nil"/>
              </w:pBdr>
              <w:shd w:fill="auto" w:val="clear"/>
              <w:spacing w:line="240" w:lineRule="auto"/>
              <w:ind w:right="51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Focus group 1 </w:t>
            </w:r>
          </w:p>
        </w:tc>
        <w:tc>
          <w:tcPr>
            <w:shd w:fill="auto" w:val="clear"/>
            <w:tcMar>
              <w:top w:w="100.0" w:type="dxa"/>
              <w:left w:w="100.0" w:type="dxa"/>
              <w:bottom w:w="100.0" w:type="dxa"/>
              <w:right w:w="100.0" w:type="dxa"/>
            </w:tcMar>
          </w:tcPr>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1:The three dimensions</w:t>
            </w:r>
          </w:p>
        </w:tc>
        <w:tc>
          <w:tcPr>
            <w:shd w:fill="auto" w:val="clear"/>
            <w:tcMar>
              <w:top w:w="100.0" w:type="dxa"/>
              <w:left w:w="100.0" w:type="dxa"/>
              <w:bottom w:w="100.0" w:type="dxa"/>
              <w:right w:w="100.0" w:type="dxa"/>
            </w:tcMar>
          </w:tcPr>
          <w:p w:rsidR="00000000" w:rsidDel="00000000" w:rsidP="00000000" w:rsidRDefault="00000000" w:rsidRPr="00000000" w14:paraId="00000023">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vMerge w:val="restart"/>
            <w:shd w:fill="auto" w:val="clear"/>
            <w:tcMar>
              <w:top w:w="100.0" w:type="dxa"/>
              <w:left w:w="100.0" w:type="dxa"/>
              <w:bottom w:w="100.0" w:type="dxa"/>
              <w:right w:w="100.0" w:type="dxa"/>
            </w:tcMar>
          </w:tcPr>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vMerge w:val="restart"/>
            <w:shd w:fill="auto" w:val="clear"/>
            <w:tcMar>
              <w:top w:w="100.0" w:type="dxa"/>
              <w:left w:w="100.0" w:type="dxa"/>
              <w:bottom w:w="100.0" w:type="dxa"/>
              <w:right w:w="100.0" w:type="dxa"/>
            </w:tcMar>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Solid specification &amp; standards =6</w:t>
            </w:r>
          </w:p>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Law &amp; privacy = 4</w:t>
            </w:r>
          </w:p>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Technical privacy &amp; Security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ff"/>
                <w:sz w:val="24"/>
                <w:szCs w:val="24"/>
                <w:rtl w:val="0"/>
              </w:rPr>
              <w:t xml:space="preserve">=2</w:t>
            </w:r>
          </w:p>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HCI =1</w:t>
            </w:r>
          </w:p>
        </w:tc>
      </w:tr>
      <w:tr>
        <w:trPr>
          <w:cantSplit w:val="0"/>
          <w:trHeight w:val="40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2: Backcasting</w:t>
            </w:r>
          </w:p>
        </w:tc>
        <w:tc>
          <w:tcPr>
            <w:shd w:fill="auto" w:val="clear"/>
            <w:tcMar>
              <w:top w:w="100.0" w:type="dxa"/>
              <w:left w:w="100.0" w:type="dxa"/>
              <w:bottom w:w="100.0" w:type="dxa"/>
              <w:right w:w="100.0" w:type="dxa"/>
            </w:tcMar>
          </w:tcPr>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0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Synthesis </w:t>
            </w:r>
          </w:p>
        </w:tc>
        <w:tc>
          <w:tcPr>
            <w:shd w:fill="auto" w:val="clear"/>
            <w:tcMar>
              <w:top w:w="100.0" w:type="dxa"/>
              <w:left w:w="100.0" w:type="dxa"/>
              <w:bottom w:w="100.0" w:type="dxa"/>
              <w:right w:w="100.0" w:type="dxa"/>
            </w:tcMar>
          </w:tcPr>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551" w:hRule="atLeast"/>
          <w:tblHeader w:val="0"/>
        </w:trPr>
        <w:tc>
          <w:tcPr>
            <w:vMerge w:val="restart"/>
            <w:shd w:fill="auto" w:val="clear"/>
            <w:tcMar>
              <w:top w:w="100.0" w:type="dxa"/>
              <w:left w:w="100.0" w:type="dxa"/>
              <w:bottom w:w="100.0" w:type="dxa"/>
              <w:right w:w="100.0" w:type="dxa"/>
            </w:tcMar>
          </w:tcPr>
          <w:p w:rsidR="00000000" w:rsidDel="00000000" w:rsidP="00000000" w:rsidRDefault="00000000" w:rsidRPr="00000000" w14:paraId="00000033">
            <w:pPr>
              <w:widowControl w:val="0"/>
              <w:pBdr>
                <w:top w:space="0" w:sz="0" w:val="nil"/>
                <w:left w:space="0" w:sz="0" w:val="nil"/>
                <w:bottom w:space="0" w:sz="0" w:val="nil"/>
                <w:right w:space="0" w:sz="0" w:val="nil"/>
                <w:between w:space="0" w:sz="0" w:val="nil"/>
              </w:pBdr>
              <w:shd w:fill="auto" w:val="clear"/>
              <w:spacing w:line="240" w:lineRule="auto"/>
              <w:ind w:right="51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Focus group 2 </w:t>
            </w:r>
          </w:p>
        </w:tc>
        <w:tc>
          <w:tcPr>
            <w:shd w:fill="auto" w:val="clear"/>
            <w:tcMar>
              <w:top w:w="100.0" w:type="dxa"/>
              <w:left w:w="100.0" w:type="dxa"/>
              <w:bottom w:w="100.0" w:type="dxa"/>
              <w:right w:w="100.0" w:type="dxa"/>
            </w:tcMar>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1: The three dimensions</w:t>
            </w:r>
          </w:p>
        </w:tc>
        <w:tc>
          <w:tcPr>
            <w:shd w:fill="auto" w:val="clear"/>
            <w:tcMar>
              <w:top w:w="100.0" w:type="dxa"/>
              <w:left w:w="100.0" w:type="dxa"/>
              <w:bottom w:w="100.0" w:type="dxa"/>
              <w:right w:w="100.0" w:type="dxa"/>
            </w:tcMar>
          </w:tcPr>
          <w:p w:rsidR="00000000" w:rsidDel="00000000" w:rsidP="00000000" w:rsidRDefault="00000000" w:rsidRPr="00000000" w14:paraId="00000035">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vMerge w:val="restart"/>
            <w:shd w:fill="auto" w:val="clear"/>
            <w:tcMar>
              <w:top w:w="100.0" w:type="dxa"/>
              <w:left w:w="100.0" w:type="dxa"/>
              <w:bottom w:w="100.0" w:type="dxa"/>
              <w:right w:w="100.0" w:type="dxa"/>
            </w:tcMar>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vMerge w:val="restart"/>
            <w:shd w:fill="auto" w:val="clear"/>
            <w:tcMar>
              <w:top w:w="100.0" w:type="dxa"/>
              <w:left w:w="100.0" w:type="dxa"/>
              <w:bottom w:w="100.0" w:type="dxa"/>
              <w:right w:w="100.0" w:type="dxa"/>
            </w:tcMar>
          </w:tcPr>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Law* =8, </w:t>
            </w:r>
          </w:p>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Social Science=2, </w:t>
            </w:r>
          </w:p>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Philosophy =1, </w:t>
            </w:r>
          </w:p>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PPA developer =1</w:t>
            </w:r>
          </w:p>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0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D">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2: Acceptability of PPAs</w:t>
            </w:r>
          </w:p>
        </w:tc>
        <w:tc>
          <w:tcPr>
            <w:shd w:fill="auto" w:val="clear"/>
            <w:tcMar>
              <w:top w:w="100.0" w:type="dxa"/>
              <w:left w:w="100.0" w:type="dxa"/>
              <w:bottom w:w="100.0" w:type="dxa"/>
              <w:right w:w="100.0" w:type="dxa"/>
            </w:tcMar>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0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Activity 3: Backcasting </w:t>
            </w:r>
          </w:p>
        </w:tc>
        <w:tc>
          <w:tcPr>
            <w:shd w:fill="auto" w:val="clear"/>
            <w:tcMar>
              <w:top w:w="100.0" w:type="dxa"/>
              <w:left w:w="100.0" w:type="dxa"/>
              <w:bottom w:w="100.0" w:type="dxa"/>
              <w:right w:w="100.0" w:type="dxa"/>
            </w:tcMar>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r>
        <w:trPr>
          <w:cantSplit w:val="0"/>
          <w:trHeight w:val="400" w:hRule="atLeast"/>
          <w:tblHeader w:val="0"/>
        </w:trPr>
        <w:tc>
          <w:tcPr>
            <w:vMerge w:val="continue"/>
            <w:shd w:fill="auto" w:val="clear"/>
            <w:tcMar>
              <w:top w:w="100.0" w:type="dxa"/>
              <w:left w:w="100.0" w:type="dxa"/>
              <w:bottom w:w="100.0" w:type="dxa"/>
              <w:right w:w="100.0" w:type="dxa"/>
            </w:tcMar>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47">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Synthesis </w:t>
            </w:r>
          </w:p>
        </w:tc>
        <w:tc>
          <w:tcPr>
            <w:shd w:fill="auto" w:val="clear"/>
            <w:tcMar>
              <w:top w:w="100.0" w:type="dxa"/>
              <w:left w:w="100.0" w:type="dxa"/>
              <w:bottom w:w="100.0" w:type="dxa"/>
              <w:right w:w="100.0" w:type="dxa"/>
            </w:tcMar>
          </w:tcPr>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hd w:fill="auto" w:val="clear"/>
              <w:spacing w:line="240" w:lineRule="auto"/>
              <w:ind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4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ind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Focus group composition of participants and activity plan</w:t>
      </w:r>
    </w:p>
    <w:p w:rsidR="00000000" w:rsidDel="00000000" w:rsidP="00000000" w:rsidRDefault="00000000" w:rsidRPr="00000000" w14:paraId="0000004E">
      <w:pPr>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*Detailed breakdown: Privacy/Data protection law = 2, Tech law=1, Tax law=1, Competition and consumer protection law= 1, Private law=3</w:t>
      </w:r>
    </w:p>
    <w:p w:rsidR="00000000" w:rsidDel="00000000" w:rsidP="00000000" w:rsidRDefault="00000000" w:rsidRPr="00000000" w14:paraId="0000004F">
      <w:pPr>
        <w:pStyle w:val="Heading2"/>
        <w:ind w:firstLine="0"/>
        <w:rPr>
          <w:rFonts w:ascii="Times New Roman" w:cs="Times New Roman" w:eastAsia="Times New Roman" w:hAnsi="Times New Roman"/>
          <w:sz w:val="24"/>
          <w:szCs w:val="24"/>
        </w:rPr>
      </w:pPr>
      <w:bookmarkStart w:colFirst="0" w:colLast="0" w:name="_heading=h.62e50roq8u8b" w:id="6"/>
      <w:bookmarkEnd w:id="6"/>
      <w:r w:rsidDel="00000000" w:rsidR="00000000" w:rsidRPr="00000000">
        <w:rPr>
          <w:rFonts w:ascii="Times New Roman" w:cs="Times New Roman" w:eastAsia="Times New Roman" w:hAnsi="Times New Roman"/>
          <w:sz w:val="24"/>
          <w:szCs w:val="24"/>
          <w:rtl w:val="0"/>
        </w:rPr>
        <w:t xml:space="preserve">4.2 Focus group design and foresight methods</w:t>
      </w:r>
    </w:p>
    <w:p w:rsidR="00000000" w:rsidDel="00000000" w:rsidP="00000000" w:rsidRDefault="00000000" w:rsidRPr="00000000" w14:paraId="00000050">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Both focus groups began with an introduction to establish a common foundation for the participants on the use of personalization for privacy notices and data decisions, its potential benefits and risks, as well as the introduction of PPAs and their use scenarios. In the first focus group, participants were introduced to three automation levels for PPAs and divided into three groups, each focusing on one automation level. Participants remained in their assigned groups, discussing the three dimensions and identifying action points via backcasting, then sharing the main takeaways in the synthesis session. The focus groups followed an iterative design, meaning the second focus group was developed based on the insights gained from the first one. As a result, in the second focus group, we centered on the hybrid manual-automated PPA model. Participants in the second focus group were divided into three groups to rotate through the three dimensions, then reconvened for Activities 2 and 3. Quotes from participants in the first focus group were used to spark discussion during the second focus group. </w:t>
      </w:r>
    </w:p>
    <w:p w:rsidR="00000000" w:rsidDel="00000000" w:rsidP="00000000" w:rsidRDefault="00000000" w:rsidRPr="00000000" w14:paraId="00000051">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Whereas accuracy, accountability, and agency represented the focus to efficiently guide the discussions throughout the two focus groups, foresight and backcasting methods were incorporated to elicit participants' responses and facilitate discussions. Foresight is “the process of developing a range of views of possible ways in which the future could develop and understanding these sufficiently well to be able to decide what decisions can be taken today to create the best possible tomorrow” </w:t>
      </w:r>
      <w:r w:rsidDel="00000000" w:rsidR="00000000" w:rsidRPr="00000000">
        <w:rPr>
          <w:rFonts w:ascii="Times New Roman" w:cs="Times New Roman" w:eastAsia="Times New Roman" w:hAnsi="Times New Roman"/>
          <w:color w:val="000000"/>
          <w:sz w:val="24"/>
          <w:szCs w:val="24"/>
          <w:rtl w:val="0"/>
        </w:rPr>
        <w:t xml:space="preserve">(Horton, 1999, p. 5)</w:t>
      </w:r>
      <w:r w:rsidDel="00000000" w:rsidR="00000000" w:rsidRPr="00000000">
        <w:rPr>
          <w:rFonts w:ascii="Times New Roman" w:cs="Times New Roman" w:eastAsia="Times New Roman" w:hAnsi="Times New Roman"/>
          <w:sz w:val="24"/>
          <w:szCs w:val="24"/>
          <w:rtl w:val="0"/>
        </w:rPr>
        <w:t xml:space="preserve">. Popper </w:t>
      </w:r>
      <w:r w:rsidDel="00000000" w:rsidR="00000000" w:rsidRPr="00000000">
        <w:rPr>
          <w:rFonts w:ascii="Times New Roman" w:cs="Times New Roman" w:eastAsia="Times New Roman" w:hAnsi="Times New Roman"/>
          <w:color w:val="000000"/>
          <w:sz w:val="24"/>
          <w:szCs w:val="24"/>
          <w:rtl w:val="0"/>
        </w:rPr>
        <w:t xml:space="preserve">(2008)</w:t>
      </w:r>
      <w:r w:rsidDel="00000000" w:rsidR="00000000" w:rsidRPr="00000000">
        <w:rPr>
          <w:rFonts w:ascii="Times New Roman" w:cs="Times New Roman" w:eastAsia="Times New Roman" w:hAnsi="Times New Roman"/>
          <w:sz w:val="24"/>
          <w:szCs w:val="24"/>
          <w:rtl w:val="0"/>
        </w:rPr>
        <w:t xml:space="preserve"> raises five phases of foresight, including pre-foresight, recruitment, generation, action, and renewal. In our focus groups, we followed the first three phases, where we developed a desirable future scenario, raised questions using the three dimensions, and recruited participants from relevant disciplines and sectors. Backcasting —a normative approach that focuses on achieving a desired or alternative future rather than what is likely or possible </w:t>
      </w:r>
      <w:r w:rsidDel="00000000" w:rsidR="00000000" w:rsidRPr="00000000">
        <w:rPr>
          <w:rFonts w:ascii="Times New Roman" w:cs="Times New Roman" w:eastAsia="Times New Roman" w:hAnsi="Times New Roman"/>
          <w:color w:val="000000"/>
          <w:sz w:val="24"/>
          <w:szCs w:val="24"/>
          <w:rtl w:val="0"/>
        </w:rPr>
        <w:t xml:space="preserve">(Quist, 2016) </w:t>
      </w:r>
      <w:r w:rsidDel="00000000" w:rsidR="00000000" w:rsidRPr="00000000">
        <w:rPr>
          <w:rFonts w:ascii="Times New Roman" w:cs="Times New Roman" w:eastAsia="Times New Roman" w:hAnsi="Times New Roman"/>
          <w:sz w:val="24"/>
          <w:szCs w:val="24"/>
          <w:rtl w:val="0"/>
        </w:rPr>
        <w:t xml:space="preserve">— entails envisioning an ideal future and then working backward from that future to the present to identify strategies and plans </w:t>
      </w:r>
      <w:r w:rsidDel="00000000" w:rsidR="00000000" w:rsidRPr="00000000">
        <w:rPr>
          <w:rFonts w:ascii="Times New Roman" w:cs="Times New Roman" w:eastAsia="Times New Roman" w:hAnsi="Times New Roman"/>
          <w:color w:val="000000"/>
          <w:sz w:val="24"/>
          <w:szCs w:val="24"/>
          <w:rtl w:val="0"/>
        </w:rPr>
        <w:t xml:space="preserve">(Vergragt &amp; Quist, 2011)</w:t>
      </w:r>
      <w:r w:rsidDel="00000000" w:rsidR="00000000" w:rsidRPr="00000000">
        <w:rPr>
          <w:rFonts w:ascii="Times New Roman" w:cs="Times New Roman" w:eastAsia="Times New Roman" w:hAnsi="Times New Roman"/>
          <w:sz w:val="24"/>
          <w:szCs w:val="24"/>
          <w:rtl w:val="0"/>
        </w:rPr>
        <w:t xml:space="preserve">. By outlining a defined future, this method allows for discussing the necessary technology, actions, or stakeholders needed to actualize that future </w:t>
      </w:r>
      <w:r w:rsidDel="00000000" w:rsidR="00000000" w:rsidRPr="00000000">
        <w:rPr>
          <w:rFonts w:ascii="Times New Roman" w:cs="Times New Roman" w:eastAsia="Times New Roman" w:hAnsi="Times New Roman"/>
          <w:color w:val="000000"/>
          <w:sz w:val="24"/>
          <w:szCs w:val="24"/>
          <w:rtl w:val="0"/>
        </w:rPr>
        <w:t xml:space="preserve">(Holmberg &amp; Robert, 2000)</w:t>
      </w:r>
      <w:r w:rsidDel="00000000" w:rsidR="00000000" w:rsidRPr="00000000">
        <w:rPr>
          <w:rFonts w:ascii="Times New Roman" w:cs="Times New Roman" w:eastAsia="Times New Roman" w:hAnsi="Times New Roman"/>
          <w:sz w:val="24"/>
          <w:szCs w:val="24"/>
          <w:rtl w:val="0"/>
        </w:rPr>
        <w:t xml:space="preserve">. These methods are also adopted by policy-makers and enforcement agencies to better address nascent ethical, legal, and technological issues. The CNIL (i.e., the French data protection authority), for example, uses fictional artifacts to enable its members to more tangibly explore speculative scenarios and thereby develop more appropriate, future-proof operational recommendations on emerging technologies </w:t>
      </w:r>
      <w:r w:rsidDel="00000000" w:rsidR="00000000" w:rsidRPr="00000000">
        <w:rPr>
          <w:rFonts w:ascii="Times New Roman" w:cs="Times New Roman" w:eastAsia="Times New Roman" w:hAnsi="Times New Roman"/>
          <w:color w:val="000000"/>
          <w:sz w:val="24"/>
          <w:szCs w:val="24"/>
          <w:rtl w:val="0"/>
        </w:rPr>
        <w:t xml:space="preserve">(Rossi</w:t>
      </w:r>
      <w:r w:rsidDel="00000000" w:rsidR="00000000" w:rsidRPr="00000000">
        <w:rPr>
          <w:rFonts w:ascii="Times New Roman" w:cs="Times New Roman" w:eastAsia="Times New Roman" w:hAnsi="Times New Roman"/>
          <w:sz w:val="24"/>
          <w:szCs w:val="24"/>
          <w:rtl w:val="0"/>
        </w:rPr>
        <w:t xml:space="preserve"> et al.</w:t>
      </w:r>
      <w:r w:rsidDel="00000000" w:rsidR="00000000" w:rsidRPr="00000000">
        <w:rPr>
          <w:rFonts w:ascii="Times New Roman" w:cs="Times New Roman" w:eastAsia="Times New Roman" w:hAnsi="Times New Roman"/>
          <w:color w:val="000000"/>
          <w:sz w:val="24"/>
          <w:szCs w:val="24"/>
          <w:rtl w:val="0"/>
        </w:rPr>
        <w:t xml:space="preserve">, 2022)</w:t>
      </w:r>
      <w:r w:rsidDel="00000000" w:rsidR="00000000" w:rsidRPr="00000000">
        <w:rPr>
          <w:rFonts w:ascii="Times New Roman" w:cs="Times New Roman" w:eastAsia="Times New Roman" w:hAnsi="Times New Roman"/>
          <w:sz w:val="24"/>
          <w:szCs w:val="24"/>
          <w:rtl w:val="0"/>
        </w:rPr>
        <w:t xml:space="preserve">. We drew indeed one of the examples used in our scenarios (i.e., the automated setup, see Appendix I) from one of their speculative reports </w:t>
      </w:r>
      <w:r w:rsidDel="00000000" w:rsidR="00000000" w:rsidRPr="00000000">
        <w:rPr>
          <w:rFonts w:ascii="Times New Roman" w:cs="Times New Roman" w:eastAsia="Times New Roman" w:hAnsi="Times New Roman"/>
          <w:color w:val="000000"/>
          <w:sz w:val="24"/>
          <w:szCs w:val="24"/>
          <w:rtl w:val="0"/>
        </w:rPr>
        <w:t xml:space="preserve">(</w:t>
      </w:r>
      <w:r w:rsidDel="00000000" w:rsidR="00000000" w:rsidRPr="00000000">
        <w:rPr>
          <w:rFonts w:ascii="Times New Roman" w:cs="Times New Roman" w:eastAsia="Times New Roman" w:hAnsi="Times New Roman"/>
          <w:sz w:val="24"/>
          <w:szCs w:val="24"/>
          <w:rtl w:val="0"/>
        </w:rPr>
        <w:t xml:space="preserve">Courmont et al.,</w:t>
      </w:r>
      <w:r w:rsidDel="00000000" w:rsidR="00000000" w:rsidRPr="00000000">
        <w:rPr>
          <w:rFonts w:ascii="Times New Roman" w:cs="Times New Roman" w:eastAsia="Times New Roman" w:hAnsi="Times New Roman"/>
          <w:color w:val="000000"/>
          <w:sz w:val="24"/>
          <w:szCs w:val="24"/>
          <w:rtl w:val="0"/>
        </w:rPr>
        <w:t xml:space="preserve"> 2021)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both focus groups, the first activity focused on the three dimensions, accuracy, agency, and accountability, with each dimension paired with probing questions (See Appendix II), and a subsequent activity explored the actions and stakeholders necessary for PPAs to happen in 2033, working backward to 2023. A ten-year timeframe (from the time of the study) was selected, a tangible horizon reflecting the current pace of technological advancements and legislative developments, thereby ensuring the reliability of a backcasting exercise over this period. </w:t>
      </w:r>
    </w:p>
    <w:p w:rsidR="00000000" w:rsidDel="00000000" w:rsidP="00000000" w:rsidRDefault="00000000" w:rsidRPr="00000000" w14:paraId="00000053">
      <w:pPr>
        <w:pStyle w:val="Heading2"/>
        <w:ind w:firstLine="0"/>
        <w:rPr>
          <w:rFonts w:ascii="Times New Roman" w:cs="Times New Roman" w:eastAsia="Times New Roman" w:hAnsi="Times New Roman"/>
          <w:sz w:val="24"/>
          <w:szCs w:val="24"/>
        </w:rPr>
      </w:pPr>
      <w:bookmarkStart w:colFirst="0" w:colLast="0" w:name="_heading=h.y0iz8ohoaia6" w:id="7"/>
      <w:bookmarkEnd w:id="7"/>
      <w:r w:rsidDel="00000000" w:rsidR="00000000" w:rsidRPr="00000000">
        <w:rPr>
          <w:rFonts w:ascii="Times New Roman" w:cs="Times New Roman" w:eastAsia="Times New Roman" w:hAnsi="Times New Roman"/>
          <w:sz w:val="24"/>
          <w:szCs w:val="24"/>
          <w:rtl w:val="0"/>
        </w:rPr>
        <w:t xml:space="preserve">4.3 Data collection,</w:t>
      </w:r>
      <w:r w:rsidDel="00000000" w:rsidR="00000000" w:rsidRPr="00000000">
        <w:rPr>
          <w:rFonts w:ascii="Times New Roman" w:cs="Times New Roman" w:eastAsia="Times New Roman" w:hAnsi="Times New Roman"/>
          <w:color w:val="0000ff"/>
          <w:sz w:val="24"/>
          <w:szCs w:val="24"/>
          <w:rtl w:val="0"/>
        </w:rPr>
        <w:t xml:space="preserve"> analysis, </w:t>
      </w:r>
      <w:r w:rsidDel="00000000" w:rsidR="00000000" w:rsidRPr="00000000">
        <w:rPr>
          <w:rFonts w:ascii="Times New Roman" w:cs="Times New Roman" w:eastAsia="Times New Roman" w:hAnsi="Times New Roman"/>
          <w:sz w:val="24"/>
          <w:szCs w:val="24"/>
          <w:rtl w:val="0"/>
        </w:rPr>
        <w:t xml:space="preserve">and reporting of the </w:t>
      </w:r>
      <w:r w:rsidDel="00000000" w:rsidR="00000000" w:rsidRPr="00000000">
        <w:rPr>
          <w:rFonts w:ascii="Times New Roman" w:cs="Times New Roman" w:eastAsia="Times New Roman" w:hAnsi="Times New Roman"/>
          <w:sz w:val="24"/>
          <w:szCs w:val="24"/>
          <w:rtl w:val="0"/>
        </w:rPr>
        <w:t xml:space="preserve">results</w:t>
      </w:r>
      <w:r w:rsidDel="00000000" w:rsidR="00000000" w:rsidRPr="00000000">
        <w:rPr>
          <w:rtl w:val="0"/>
        </w:rPr>
      </w:r>
    </w:p>
    <w:p w:rsidR="00000000" w:rsidDel="00000000" w:rsidP="00000000" w:rsidRDefault="00000000" w:rsidRPr="00000000" w14:paraId="00000054">
      <w:pPr>
        <w:ind w:firstLine="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The inputs gathered during the focus groups were audio-recorded, transcribed, and pseudonymized. We encouraged participants to jot down their key points on sticky notes and interact with the notes of others. The notes were digitized for analysis on an online Miro board. Data analysis was centered on the sticky notes of the participants. Once digitized, the authors individually reviewed the sticky notes related to the groups they moderated. Subsequently, the authors collaboratively rearranged the sticky notes. Facilitated by the transcripts and notes taken by the authors, a reflexive thematic analysis was conducted </w:t>
      </w:r>
      <w:r w:rsidDel="00000000" w:rsidR="00000000" w:rsidRPr="00000000">
        <w:rPr>
          <w:rFonts w:ascii="Times New Roman" w:cs="Times New Roman" w:eastAsia="Times New Roman" w:hAnsi="Times New Roman"/>
          <w:color w:val="000000"/>
          <w:sz w:val="24"/>
          <w:szCs w:val="24"/>
          <w:rtl w:val="0"/>
        </w:rPr>
        <w:t xml:space="preserve">(Braun &amp; Clarke, 2021)</w:t>
      </w:r>
      <w:r w:rsidDel="00000000" w:rsidR="00000000" w:rsidRPr="00000000">
        <w:rPr>
          <w:rFonts w:ascii="Times New Roman" w:cs="Times New Roman" w:eastAsia="Times New Roman" w:hAnsi="Times New Roman"/>
          <w:sz w:val="24"/>
          <w:szCs w:val="24"/>
          <w:rtl w:val="0"/>
        </w:rPr>
        <w:t xml:space="preserve">, and themes were developed </w:t>
      </w:r>
      <w:r w:rsidDel="00000000" w:rsidR="00000000" w:rsidRPr="00000000">
        <w:rPr>
          <w:rFonts w:ascii="Times New Roman" w:cs="Times New Roman" w:eastAsia="Times New Roman" w:hAnsi="Times New Roman"/>
          <w:color w:val="0000ff"/>
          <w:sz w:val="24"/>
          <w:szCs w:val="24"/>
          <w:rtl w:val="0"/>
        </w:rPr>
        <w:t xml:space="preserve">in a bottom-up and iterative approach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ff"/>
          <w:sz w:val="24"/>
          <w:szCs w:val="24"/>
          <w:rtl w:val="0"/>
        </w:rPr>
        <w:t xml:space="preserve">The themes as well as codes under the dimensions of accuracy, agency and accountability are available in Appendix III, while themes on the backcasting activities are presented in Appendix IV. </w:t>
      </w:r>
      <w:r w:rsidDel="00000000" w:rsidR="00000000" w:rsidRPr="00000000">
        <w:rPr>
          <w:rFonts w:ascii="Times New Roman" w:cs="Times New Roman" w:eastAsia="Times New Roman" w:hAnsi="Times New Roman"/>
          <w:sz w:val="24"/>
          <w:szCs w:val="24"/>
          <w:rtl w:val="0"/>
        </w:rPr>
        <w:t xml:space="preserve">The authors opted not to report themes derived solely from sticky note texts because it meant that there was no time to discuss and deepen such topics during the focus </w:t>
      </w:r>
      <w:r w:rsidDel="00000000" w:rsidR="00000000" w:rsidRPr="00000000">
        <w:rPr>
          <w:rFonts w:ascii="Times New Roman" w:cs="Times New Roman" w:eastAsia="Times New Roman" w:hAnsi="Times New Roman"/>
          <w:sz w:val="24"/>
          <w:szCs w:val="24"/>
          <w:rtl w:val="0"/>
        </w:rPr>
        <w:t xml:space="preserve">groups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ff"/>
          <w:sz w:val="24"/>
          <w:szCs w:val="24"/>
          <w:rtl w:val="0"/>
        </w:rPr>
        <w:t xml:space="preserve">Selective quotes were added in Sections 5 and 6 to explain and contextualize the findings as well as giving voices to the participants. </w:t>
      </w:r>
      <w:r w:rsidDel="00000000" w:rsidR="00000000" w:rsidRPr="00000000">
        <w:rPr>
          <w:rtl w:val="0"/>
        </w:rPr>
      </w:r>
    </w:p>
    <w:p w:rsidR="00000000" w:rsidDel="00000000" w:rsidP="00000000" w:rsidRDefault="00000000" w:rsidRPr="00000000" w14:paraId="00000055">
      <w:pPr>
        <w:pStyle w:val="Heading1"/>
        <w:rPr>
          <w:rFonts w:ascii="Times New Roman" w:cs="Times New Roman" w:eastAsia="Times New Roman" w:hAnsi="Times New Roman"/>
        </w:rPr>
      </w:pPr>
      <w:bookmarkStart w:colFirst="0" w:colLast="0" w:name="_heading=h.om6wj4vnhiwv" w:id="8"/>
      <w:bookmarkEnd w:id="8"/>
      <w:r w:rsidDel="00000000" w:rsidR="00000000" w:rsidRPr="00000000">
        <w:rPr>
          <w:rFonts w:ascii="Times New Roman" w:cs="Times New Roman" w:eastAsia="Times New Roman" w:hAnsi="Times New Roman"/>
          <w:rtl w:val="0"/>
        </w:rPr>
        <w:t xml:space="preserve">5 First Focus Group: Activities and Results</w:t>
      </w:r>
    </w:p>
    <w:p w:rsidR="00000000" w:rsidDel="00000000" w:rsidP="00000000" w:rsidRDefault="00000000" w:rsidRPr="00000000" w14:paraId="00000056">
      <w:pPr>
        <w:pStyle w:val="Heading2"/>
        <w:ind w:firstLine="0"/>
        <w:rPr>
          <w:rFonts w:ascii="Times New Roman" w:cs="Times New Roman" w:eastAsia="Times New Roman" w:hAnsi="Times New Roman"/>
          <w:sz w:val="24"/>
          <w:szCs w:val="24"/>
        </w:rPr>
      </w:pPr>
      <w:bookmarkStart w:colFirst="0" w:colLast="0" w:name="_heading=h.hda11vbr3a6x" w:id="9"/>
      <w:bookmarkEnd w:id="9"/>
      <w:r w:rsidDel="00000000" w:rsidR="00000000" w:rsidRPr="00000000">
        <w:rPr>
          <w:rFonts w:ascii="Times New Roman" w:cs="Times New Roman" w:eastAsia="Times New Roman" w:hAnsi="Times New Roman"/>
          <w:sz w:val="24"/>
          <w:szCs w:val="24"/>
          <w:rtl w:val="0"/>
        </w:rPr>
        <w:t xml:space="preserve">5.1 Activity One: Automation levels and their impact on PPA accuracy, agency, and accountability </w:t>
      </w:r>
    </w:p>
    <w:p w:rsidR="00000000" w:rsidDel="00000000" w:rsidP="00000000" w:rsidRDefault="00000000" w:rsidRPr="00000000" w14:paraId="00000057">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 question guiding the first focus group was: </w:t>
      </w:r>
      <w:r w:rsidDel="00000000" w:rsidR="00000000" w:rsidRPr="00000000">
        <w:rPr>
          <w:rFonts w:ascii="Times New Roman" w:cs="Times New Roman" w:eastAsia="Times New Roman" w:hAnsi="Times New Roman"/>
          <w:i w:val="1"/>
          <w:sz w:val="24"/>
          <w:szCs w:val="24"/>
          <w:rtl w:val="0"/>
        </w:rPr>
        <w:t xml:space="preserve">How might the technical community implement usable, dynamic, granular data permission decisions about one’s own personal data in Solid Pods?</w:t>
      </w:r>
      <w:r w:rsidDel="00000000" w:rsidR="00000000" w:rsidRPr="00000000">
        <w:rPr>
          <w:rFonts w:ascii="Times New Roman" w:cs="Times New Roman" w:eastAsia="Times New Roman" w:hAnsi="Times New Roman"/>
          <w:sz w:val="24"/>
          <w:szCs w:val="24"/>
          <w:rtl w:val="0"/>
        </w:rPr>
        <w:t xml:space="preserve"> Participants were introduced to a hypothetical PPA called TamagotchIA, drawing inspiration from the CNIL (Chatellier et al., 2019; Courmont et al., 2021), speculatively envisioned for the year 2033. They were presented with three TamagotchIA setup options based on automation level: a fully manual setup using users' self-declared data-sharing preferences, a hybrid manual-automated setup that learns from conversations with users, and a fully automated setup by following a celebrity’s profile.</w:t>
      </w:r>
    </w:p>
    <w:p w:rsidR="00000000" w:rsidDel="00000000" w:rsidP="00000000" w:rsidRDefault="00000000" w:rsidRPr="00000000" w14:paraId="00000058">
      <w:pPr>
        <w:ind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9">
      <w:pPr>
        <w:pStyle w:val="Heading3"/>
        <w:rPr>
          <w:rFonts w:ascii="Times New Roman" w:cs="Times New Roman" w:eastAsia="Times New Roman" w:hAnsi="Times New Roman"/>
          <w:b w:val="0"/>
          <w:sz w:val="24"/>
          <w:szCs w:val="24"/>
        </w:rPr>
      </w:pPr>
      <w:bookmarkStart w:colFirst="0" w:colLast="0" w:name="_heading=h.k7u2savybuzb" w:id="10"/>
      <w:bookmarkEnd w:id="10"/>
      <w:r w:rsidDel="00000000" w:rsidR="00000000" w:rsidRPr="00000000">
        <w:rPr>
          <w:rFonts w:ascii="Times New Roman" w:cs="Times New Roman" w:eastAsia="Times New Roman" w:hAnsi="Times New Roman"/>
          <w:b w:val="0"/>
          <w:sz w:val="24"/>
          <w:szCs w:val="24"/>
          <w:rtl w:val="0"/>
        </w:rPr>
        <w:t xml:space="preserve">5.1.1 Results on Accuracy</w:t>
      </w:r>
    </w:p>
    <w:p w:rsidR="00000000" w:rsidDel="00000000" w:rsidP="00000000" w:rsidRDefault="00000000" w:rsidRPr="00000000" w14:paraId="0000005A">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Fully Manual Set-up</w:t>
      </w:r>
    </w:p>
    <w:p w:rsidR="00000000" w:rsidDel="00000000" w:rsidP="00000000" w:rsidRDefault="00000000" w:rsidRPr="00000000" w14:paraId="0000005B">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emphasized the need to clearly define accuracy. One asked whether accuracy means expressing the exact decision or conveying the intention. The difference in definitions was also perceived to be associated with the level of granularity allowed for user decision-making. Accuracy further depended on contextual integrity, echoing </w:t>
      </w:r>
      <w:r w:rsidDel="00000000" w:rsidR="00000000" w:rsidRPr="00000000">
        <w:rPr>
          <w:rFonts w:ascii="Times New Roman" w:cs="Times New Roman" w:eastAsia="Times New Roman" w:hAnsi="Times New Roman"/>
          <w:color w:val="000000"/>
          <w:sz w:val="24"/>
          <w:szCs w:val="24"/>
          <w:rtl w:val="0"/>
        </w:rPr>
        <w:t xml:space="preserve">Nissenbaum</w:t>
      </w:r>
      <w:r w:rsidDel="00000000" w:rsidR="00000000" w:rsidRPr="00000000">
        <w:rPr>
          <w:rFonts w:ascii="Times New Roman" w:cs="Times New Roman" w:eastAsia="Times New Roman" w:hAnsi="Times New Roman"/>
          <w:sz w:val="24"/>
          <w:szCs w:val="24"/>
          <w:rtl w:val="0"/>
        </w:rPr>
        <w:t xml:space="preserve">’s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color w:val="000000"/>
          <w:sz w:val="24"/>
          <w:szCs w:val="24"/>
          <w:rtl w:val="0"/>
        </w:rPr>
        <w:t xml:space="preserve">2004)</w:t>
      </w:r>
      <w:r w:rsidDel="00000000" w:rsidR="00000000" w:rsidRPr="00000000">
        <w:rPr>
          <w:rFonts w:ascii="Times New Roman" w:cs="Times New Roman" w:eastAsia="Times New Roman" w:hAnsi="Times New Roman"/>
          <w:sz w:val="24"/>
          <w:szCs w:val="24"/>
          <w:rtl w:val="0"/>
        </w:rPr>
        <w:t xml:space="preserve"> concept such that users' privacy preferences would change over time and context, and thus need to be taken into consideration for PPA accuracy. Acknowledging that a PPA could not be perfectly accurate, participants suggested allowing users to set an acceptable accuracy rate. </w:t>
      </w:r>
      <w:r w:rsidDel="00000000" w:rsidR="00000000" w:rsidRPr="00000000">
        <w:rPr>
          <w:rFonts w:ascii="Times New Roman" w:cs="Times New Roman" w:eastAsia="Times New Roman" w:hAnsi="Times New Roman"/>
          <w:color w:val="0000ff"/>
          <w:sz w:val="24"/>
          <w:szCs w:val="24"/>
          <w:rtl w:val="0"/>
        </w:rPr>
        <w:t xml:space="preserve">P2 from the Fully Manual group</w:t>
      </w:r>
      <w:r w:rsidDel="00000000" w:rsidR="00000000" w:rsidRPr="00000000">
        <w:rPr>
          <w:rFonts w:ascii="Times New Roman" w:cs="Times New Roman" w:eastAsia="Times New Roman" w:hAnsi="Times New Roman"/>
          <w:sz w:val="24"/>
          <w:szCs w:val="24"/>
          <w:rtl w:val="0"/>
        </w:rPr>
        <w:t xml:space="preserve"> proposed viewing accuracy as preference consistency, in terms of whether the PPA would align with the user's preferences most of the time. </w:t>
      </w:r>
      <w:r w:rsidDel="00000000" w:rsidR="00000000" w:rsidRPr="00000000">
        <w:rPr>
          <w:rFonts w:ascii="Times New Roman" w:cs="Times New Roman" w:eastAsia="Times New Roman" w:hAnsi="Times New Roman"/>
          <w:color w:val="0000ff"/>
          <w:sz w:val="24"/>
          <w:szCs w:val="24"/>
          <w:rtl w:val="0"/>
        </w:rPr>
        <w:t xml:space="preserve">As they put it, </w:t>
      </w:r>
      <w:r w:rsidDel="00000000" w:rsidR="00000000" w:rsidRPr="00000000">
        <w:rPr>
          <w:rFonts w:ascii="Times New Roman" w:cs="Times New Roman" w:eastAsia="Times New Roman" w:hAnsi="Times New Roman"/>
          <w:i w:val="1"/>
          <w:color w:val="0000ff"/>
          <w:sz w:val="24"/>
          <w:szCs w:val="24"/>
          <w:rtl w:val="0"/>
        </w:rPr>
        <w:t xml:space="preserve">“I don't know if it is possible for tools like these to be fully 100 % accurate all the time. Maybe it's an idea to shift from 100 % accuracy to resilience, [in that] is it making the right decision most of the time? And when it is not making the decision, how do we fix that?”</w:t>
      </w:r>
      <w:r w:rsidDel="00000000" w:rsidR="00000000" w:rsidRPr="00000000">
        <w:rPr>
          <w:rFonts w:ascii="Times New Roman" w:cs="Times New Roman" w:eastAsia="Times New Roman" w:hAnsi="Times New Roman"/>
          <w:color w:val="0000ff"/>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This could be measured through interactive feedback features, reflecting the PPA's ability to avoid unwanted harm or violations of user preferences.</w:t>
      </w:r>
    </w:p>
    <w:p w:rsidR="00000000" w:rsidDel="00000000" w:rsidP="00000000" w:rsidRDefault="00000000" w:rsidRPr="00000000" w14:paraId="0000005C">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For the fully manual group, accuracy was connected to measurement and oversight. One suggested measuring accuracy based on a PPA’s performance to derive its decisions from (pre-determined) rules and assessing the implications of these decisions. In addition, the group brought up that users should be informed through weekly summaries of how a PPA applied user configurations to make decisions, and they could rate such decisions and change their configurations if unsatisfied. Alternatively, a PPA could show users statistics on data flows and data access, proactively asking users for feedback. Both suggestions leveraged a human-in-the-loop approach, enabling users to reflect on and modify their privacy preferences stored in the system. If a PPA detects changes in a user's privacy behavior, it could notify them of actions that don't align with their stated preferences and ask if updates are needed. However, participants acknowledged this could lead to information overload and user fatigue. One participant suggested a shift from accuracy measurement to user satisfaction, changing the emphasis from objective accuracy standards to (subjective) user experiences, covering personal expectations and perceptions.</w:t>
      </w:r>
    </w:p>
    <w:p w:rsidR="00000000" w:rsidDel="00000000" w:rsidP="00000000" w:rsidRDefault="00000000" w:rsidRPr="00000000" w14:paraId="0000005D">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Hybrid Set-up</w:t>
      </w:r>
    </w:p>
    <w:p w:rsidR="00000000" w:rsidDel="00000000" w:rsidP="00000000" w:rsidRDefault="00000000" w:rsidRPr="00000000" w14:paraId="0000005E">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in this group proposed oversight mechanisms for accuracy, such as regular user confirmation and the use of an external agent to verify the correctness of PPA inferences. The goal of oversight perceived by the participants was to avoid the automatic creation of inaccurate or biased inferences by the PPA without user awareness or verification. </w:t>
      </w:r>
    </w:p>
    <w:p w:rsidR="00000000" w:rsidDel="00000000" w:rsidP="00000000" w:rsidRDefault="00000000" w:rsidRPr="00000000" w14:paraId="0000005F">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Participants expressed mixed opinions on the use of implicit input data for personalization. Some saw the benefits as this could reveal underlying patterns users might be unaware of, ensuring accurate decisions while being less burdensome. </w:t>
      </w:r>
      <w:r w:rsidDel="00000000" w:rsidR="00000000" w:rsidRPr="00000000">
        <w:rPr>
          <w:rFonts w:ascii="Times New Roman" w:cs="Times New Roman" w:eastAsia="Times New Roman" w:hAnsi="Times New Roman"/>
          <w:color w:val="0000ff"/>
          <w:sz w:val="24"/>
          <w:szCs w:val="24"/>
          <w:rtl w:val="0"/>
        </w:rPr>
        <w:t xml:space="preserve">As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ff"/>
          <w:sz w:val="24"/>
          <w:szCs w:val="24"/>
          <w:rtl w:val="0"/>
        </w:rPr>
        <w:t xml:space="preserve">P1 from the Hybrid group explained: </w:t>
      </w:r>
      <w:r w:rsidDel="00000000" w:rsidR="00000000" w:rsidRPr="00000000">
        <w:rPr>
          <w:rFonts w:ascii="Times New Roman" w:cs="Times New Roman" w:eastAsia="Times New Roman" w:hAnsi="Times New Roman"/>
          <w:i w:val="1"/>
          <w:color w:val="0000ff"/>
          <w:sz w:val="24"/>
          <w:szCs w:val="24"/>
          <w:rtl w:val="0"/>
        </w:rPr>
        <w:t xml:space="preserve">“[I]t also can take into account knowledge about me as a person that I [do] not explicitly give, like there is data already about me and it [PPA] has access to that data without me iterating everything… it's a benefit”</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Others considered it problematic, leading to inaccurate data use or biased preference profiles, and thus, PPAs should only use data that are explicitly provided by users to avoid biases or replication of stereotypes based on group identity</w:t>
      </w:r>
      <w:r w:rsidDel="00000000" w:rsidR="00000000" w:rsidRPr="00000000">
        <w:rPr>
          <w:rFonts w:ascii="Times New Roman" w:cs="Times New Roman" w:eastAsia="Times New Roman" w:hAnsi="Times New Roman"/>
          <w:color w:val="0000ff"/>
          <w:sz w:val="24"/>
          <w:szCs w:val="24"/>
          <w:rtl w:val="0"/>
        </w:rPr>
        <w:t xml:space="preserve">. P3 argued, </w:t>
      </w:r>
      <w:r w:rsidDel="00000000" w:rsidR="00000000" w:rsidRPr="00000000">
        <w:rPr>
          <w:rFonts w:ascii="Times New Roman" w:cs="Times New Roman" w:eastAsia="Times New Roman" w:hAnsi="Times New Roman"/>
          <w:i w:val="1"/>
          <w:color w:val="0000ff"/>
          <w:sz w:val="24"/>
          <w:szCs w:val="24"/>
          <w:rtl w:val="0"/>
        </w:rPr>
        <w:t xml:space="preserve">“So, like, if I do not explicitly say something, then it should ask me and it should not infer something based on the rest of my data because then you end up in a biased situation or like… replicate…like… stereotypes.”</w:t>
      </w:r>
      <w:r w:rsidDel="00000000" w:rsidR="00000000" w:rsidRPr="00000000">
        <w:rPr>
          <w:rFonts w:ascii="Times New Roman" w:cs="Times New Roman" w:eastAsia="Times New Roman" w:hAnsi="Times New Roman"/>
          <w:sz w:val="24"/>
          <w:szCs w:val="24"/>
          <w:rtl w:val="0"/>
        </w:rPr>
        <w:t xml:space="preserve">. Additional concerns were raised that PPAs might prevent users from revisiting and changing their privacy preferences. Without being challenged, users could potentially be trapped in a filter bubble where preferences remain static and unevolved.</w:t>
      </w:r>
    </w:p>
    <w:p w:rsidR="00000000" w:rsidDel="00000000" w:rsidP="00000000" w:rsidRDefault="00000000" w:rsidRPr="00000000" w14:paraId="00000061">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Fully Automated Setup</w:t>
      </w:r>
    </w:p>
    <w:p w:rsidR="00000000" w:rsidDel="00000000" w:rsidP="00000000" w:rsidRDefault="00000000" w:rsidRPr="00000000" w14:paraId="00000062">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suggested two ex-post methods to evaluate PPA accuracy: conducting post-mortem analyses—to understand what happened and why after failures or major issues (Myllyaho et al., 2004)—and reviewing the history of PPA decisions. To measure accuracy, participants brainstormed approaches, including measuring abuse rates reported by individuals and authorities, tracking the frequency of user corrections on PPA decisions, evaluating robustness across different contexts, and using adversarial examples to test if and how inaccurate inputs could bypass user preferences. PPAs were believed to also have a built-in mechanism enabling users to change the assigned settings. </w:t>
      </w:r>
    </w:p>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identified when users’ PPA usage could be abused, including a PPA’s collection of unnecessary data, its granting access to requests beyond user consent (e.g., when a PPA makes a wrong decision or an adversarial entity disguises itself to trick a PPA), and when information stored in personal Pods or PPAs being used against individuals or their relatives (e.g., if a government gains access and uses it to charge individuals involved in political activism).</w:t>
      </w:r>
    </w:p>
    <w:p w:rsidR="00000000" w:rsidDel="00000000" w:rsidP="00000000" w:rsidRDefault="00000000" w:rsidRPr="00000000" w14:paraId="00000064">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end, mixed opinions were expressed on the efficacy of fully automated PPAs in improving privacy and data decisions. Some were optimistic, noting that "</w:t>
      </w:r>
      <w:r w:rsidDel="00000000" w:rsidR="00000000" w:rsidRPr="00000000">
        <w:rPr>
          <w:rFonts w:ascii="Times New Roman" w:cs="Times New Roman" w:eastAsia="Times New Roman" w:hAnsi="Times New Roman"/>
          <w:i w:val="1"/>
          <w:sz w:val="24"/>
          <w:szCs w:val="24"/>
          <w:rtl w:val="0"/>
        </w:rPr>
        <w:t xml:space="preserve">people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tend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to</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be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bored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by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privacy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consent,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documents,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and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forms</w:t>
      </w:r>
      <w:r w:rsidDel="00000000" w:rsidR="00000000" w:rsidRPr="00000000">
        <w:rPr>
          <w:rFonts w:ascii="Times New Roman" w:cs="Times New Roman" w:eastAsia="Times New Roman" w:hAnsi="Times New Roman"/>
          <w:sz w:val="24"/>
          <w:szCs w:val="24"/>
          <w:rtl w:val="0"/>
        </w:rPr>
        <w:t xml:space="preserve">," while others, </w:t>
      </w:r>
      <w:r w:rsidDel="00000000" w:rsidR="00000000" w:rsidRPr="00000000">
        <w:rPr>
          <w:rFonts w:ascii="Times New Roman" w:cs="Times New Roman" w:eastAsia="Times New Roman" w:hAnsi="Times New Roman"/>
          <w:color w:val="0000ff"/>
          <w:sz w:val="24"/>
          <w:szCs w:val="24"/>
          <w:rtl w:val="0"/>
        </w:rPr>
        <w:t xml:space="preserve">such as P3</w:t>
      </w:r>
      <w:r w:rsidDel="00000000" w:rsidR="00000000" w:rsidRPr="00000000">
        <w:rPr>
          <w:rFonts w:ascii="Times New Roman" w:cs="Times New Roman" w:eastAsia="Times New Roman" w:hAnsi="Times New Roman"/>
          <w:sz w:val="24"/>
          <w:szCs w:val="24"/>
          <w:rtl w:val="0"/>
        </w:rPr>
        <w:t xml:space="preserve">, were skeptical, suggesting that "</w:t>
      </w:r>
      <w:r w:rsidDel="00000000" w:rsidR="00000000" w:rsidRPr="00000000">
        <w:rPr>
          <w:rFonts w:ascii="Times New Roman" w:cs="Times New Roman" w:eastAsia="Times New Roman" w:hAnsi="Times New Roman"/>
          <w:i w:val="1"/>
          <w:sz w:val="24"/>
          <w:szCs w:val="24"/>
          <w:rtl w:val="0"/>
        </w:rPr>
        <w:t xml:space="preserve">following a famous person blindly does not necessarily reflect what I want... maybe I have no clue about what this contains for me</w:t>
      </w:r>
      <w:r w:rsidDel="00000000" w:rsidR="00000000" w:rsidRPr="00000000">
        <w:rPr>
          <w:rFonts w:ascii="Times New Roman" w:cs="Times New Roman" w:eastAsia="Times New Roman" w:hAnsi="Times New Roman"/>
          <w:sz w:val="24"/>
          <w:szCs w:val="24"/>
          <w:rtl w:val="0"/>
        </w:rPr>
        <w:t xml:space="preserve">." This latter sentiment reflects a broader concern about the potential lack of transparency and user knowledge in decision-making by a fully automated PPA or the profiles users would follow.</w:t>
      </w:r>
    </w:p>
    <w:p w:rsidR="00000000" w:rsidDel="00000000" w:rsidP="00000000" w:rsidRDefault="00000000" w:rsidRPr="00000000" w14:paraId="00000065">
      <w:pPr>
        <w:pStyle w:val="Heading3"/>
        <w:spacing w:before="240" w:lineRule="auto"/>
        <w:rPr>
          <w:rFonts w:ascii="Times New Roman" w:cs="Times New Roman" w:eastAsia="Times New Roman" w:hAnsi="Times New Roman"/>
          <w:b w:val="0"/>
          <w:sz w:val="24"/>
          <w:szCs w:val="24"/>
        </w:rPr>
      </w:pPr>
      <w:bookmarkStart w:colFirst="0" w:colLast="0" w:name="_heading=h.f5vr4tbg6oi7" w:id="11"/>
      <w:bookmarkEnd w:id="11"/>
      <w:r w:rsidDel="00000000" w:rsidR="00000000" w:rsidRPr="00000000">
        <w:rPr>
          <w:rFonts w:ascii="Times New Roman" w:cs="Times New Roman" w:eastAsia="Times New Roman" w:hAnsi="Times New Roman"/>
          <w:b w:val="0"/>
          <w:sz w:val="24"/>
          <w:szCs w:val="24"/>
          <w:rtl w:val="0"/>
        </w:rPr>
        <w:t xml:space="preserve">5.1.2 Results on Agency</w:t>
      </w:r>
    </w:p>
    <w:p w:rsidR="00000000" w:rsidDel="00000000" w:rsidP="00000000" w:rsidRDefault="00000000" w:rsidRPr="00000000" w14:paraId="00000066">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Fully Manual Set-up</w:t>
      </w:r>
    </w:p>
    <w:p w:rsidR="00000000" w:rsidDel="00000000" w:rsidP="00000000" w:rsidRDefault="00000000" w:rsidRPr="00000000" w14:paraId="00000067">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discussed agency in terms of aligning a PPA's objectives with user preferences. One noted that a PPA could enhance a user's sense of agency by supporting user decision-making and expressed preferences. However, these decisions might not always align with objective data protection standards, as user preferences could sometimes conflict with their best interests. Therefore, to some participants in the group, determining if certain core values should take precedence over user preferences became necessary. One participant emphasized that user agency should include both making decisions and their ability to change past decisions or preferences stored in the PPA. A PPA should always follow a user's most recent choices, with new decisions overriding previous ones. </w:t>
      </w:r>
    </w:p>
    <w:p w:rsidR="00000000" w:rsidDel="00000000" w:rsidP="00000000" w:rsidRDefault="00000000" w:rsidRPr="00000000" w14:paraId="0000006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ensure agency, participants recommended that PPA developers understand users' perceptions of risk and concerns, such as their concerns about data being transferred to specific countries. Considering the implausibility of fully grasping all user concerns, participants suggested that PPAs incorporate feedback loops, allow interactive improvements over time, and maintain communication channels with users. If a PPA uses individual characteristics for personalization, factors like timing, modality, channel, content, and granularity should be considered when using these personal characteristics. Participants agreed that extensive work should be devoted to developing a questionnaire to capture user privacy preferences meaningfully. </w:t>
      </w:r>
    </w:p>
    <w:p w:rsidR="00000000" w:rsidDel="00000000" w:rsidP="00000000" w:rsidRDefault="00000000" w:rsidRPr="00000000" w14:paraId="00000069">
      <w:pPr>
        <w:spacing w:line="360" w:lineRule="auto"/>
        <w:ind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While users could maintain their agency by exercising control via decision-making, their decisions could be manipulated. To counter this, one participant suggested users engage in A/B testing to better understand their preferences in different contexts. Another idea was verifying the identity of the requesting entity. Additionally, adopting a new business model where users pay for PPA services was proposed to ensure the service would operate in the users' best interests instead of manipulation and profiting from selling user data to others. As </w:t>
      </w:r>
      <w:r w:rsidDel="00000000" w:rsidR="00000000" w:rsidRPr="00000000">
        <w:rPr>
          <w:rFonts w:ascii="Times New Roman" w:cs="Times New Roman" w:eastAsia="Times New Roman" w:hAnsi="Times New Roman"/>
          <w:color w:val="0000ff"/>
          <w:sz w:val="24"/>
          <w:szCs w:val="24"/>
          <w:rtl w:val="0"/>
        </w:rPr>
        <w:t xml:space="preserve">P1 explained, </w:t>
      </w:r>
    </w:p>
    <w:p w:rsidR="00000000" w:rsidDel="00000000" w:rsidP="00000000" w:rsidRDefault="00000000" w:rsidRPr="00000000" w14:paraId="0000006A">
      <w:pPr>
        <w:spacing w:line="360" w:lineRule="auto"/>
        <w:ind w:left="720" w:firstLine="0"/>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“So the question then becomes, who is paying for this [PPA] to be working... to be giving us these notifications? Because someone somewhere has to pay the development cost, the hosting costs, et cetera. If it is a user paying for it, then it is highly…it is perhaps more likely that there wasn't manipulation. And NGO-style organization, perhaps still likely [that] we can avoid manipulation. But other business models lead to potential risks.”</w:t>
      </w:r>
      <w:r w:rsidDel="00000000" w:rsidR="00000000" w:rsidRPr="00000000">
        <w:rPr>
          <w:rtl w:val="0"/>
        </w:rPr>
      </w:r>
    </w:p>
    <w:p w:rsidR="00000000" w:rsidDel="00000000" w:rsidP="00000000" w:rsidRDefault="00000000" w:rsidRPr="00000000" w14:paraId="0000006B">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Hybrid</w:t>
      </w:r>
    </w:p>
    <w:p w:rsidR="00000000" w:rsidDel="00000000" w:rsidP="00000000" w:rsidRDefault="00000000" w:rsidRPr="00000000" w14:paraId="0000006C">
      <w:pPr>
        <w:ind w:firstLine="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Participants expected a PPA to be a buddy a user could trust and who could conduct activities such as flagging conflicts in consent decisions or problematic data-sharing requests. It was unclear to participants whether people truly understand their preferences when making a privacy decision and whether people should have the right not to care about their own data by delegating responsibility to an agent they trust. If so, this leads to a reconsideration of the definition of agency. Under the new definition, user agency could extend to the use of an entity on behalf of a user, as long as the entity fulfills certain criteria or codes of conduct that are shared and agreed upon. However, a question would arise about who is responsible for a user's choices, i.e., the user or the agent, especially if something goes wrong. It is also uncertain to the participants whether an agent could possess agency and whether using an agent reduces a user's own agency. Granular instructions and/or duty of care were proposed to be provided to the PPA to limit the freedom of the agent. </w:t>
      </w:r>
      <w:r w:rsidDel="00000000" w:rsidR="00000000" w:rsidRPr="00000000">
        <w:rPr>
          <w:rFonts w:ascii="Times New Roman" w:cs="Times New Roman" w:eastAsia="Times New Roman" w:hAnsi="Times New Roman"/>
          <w:color w:val="0000ff"/>
          <w:sz w:val="24"/>
          <w:szCs w:val="24"/>
          <w:rtl w:val="0"/>
        </w:rPr>
        <w:t xml:space="preserve">P4 elaborated on agency, </w:t>
      </w:r>
    </w:p>
    <w:p w:rsidR="00000000" w:rsidDel="00000000" w:rsidP="00000000" w:rsidRDefault="00000000" w:rsidRPr="00000000" w14:paraId="0000006D">
      <w:pPr>
        <w:spacing w:line="360" w:lineRule="auto"/>
        <w:ind w:left="720" w:firstLine="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“This is more theoretical, but can we talk </w:t>
      </w:r>
      <w:r w:rsidDel="00000000" w:rsidR="00000000" w:rsidRPr="00000000">
        <w:rPr>
          <w:rFonts w:ascii="Times New Roman" w:cs="Times New Roman" w:eastAsia="Times New Roman" w:hAnsi="Times New Roman"/>
          <w:i w:val="1"/>
          <w:color w:val="0000ff"/>
          <w:sz w:val="24"/>
          <w:szCs w:val="24"/>
          <w:rtl w:val="0"/>
        </w:rPr>
        <w:t xml:space="preserve">about agency</w:t>
      </w:r>
      <w:r w:rsidDel="00000000" w:rsidR="00000000" w:rsidRPr="00000000">
        <w:rPr>
          <w:rFonts w:ascii="Times New Roman" w:cs="Times New Roman" w:eastAsia="Times New Roman" w:hAnsi="Times New Roman"/>
          <w:i w:val="1"/>
          <w:color w:val="0000ff"/>
          <w:sz w:val="24"/>
          <w:szCs w:val="24"/>
          <w:rtl w:val="0"/>
        </w:rPr>
        <w:t xml:space="preserve"> of [a] product? Because as I know it's just humans and what we value and why we are talking about agency is because we are considering a certain type of being that should have agency. So I don't know if we </w:t>
      </w:r>
      <w:r w:rsidDel="00000000" w:rsidR="00000000" w:rsidRPr="00000000">
        <w:rPr>
          <w:rFonts w:ascii="Times New Roman" w:cs="Times New Roman" w:eastAsia="Times New Roman" w:hAnsi="Times New Roman"/>
          <w:i w:val="1"/>
          <w:color w:val="0000ff"/>
          <w:sz w:val="24"/>
          <w:szCs w:val="24"/>
          <w:rtl w:val="0"/>
        </w:rPr>
        <w:t xml:space="preserve">can ask</w:t>
      </w:r>
      <w:r w:rsidDel="00000000" w:rsidR="00000000" w:rsidRPr="00000000">
        <w:rPr>
          <w:rFonts w:ascii="Times New Roman" w:cs="Times New Roman" w:eastAsia="Times New Roman" w:hAnsi="Times New Roman"/>
          <w:i w:val="1"/>
          <w:color w:val="0000ff"/>
          <w:sz w:val="24"/>
          <w:szCs w:val="24"/>
          <w:rtl w:val="0"/>
        </w:rPr>
        <w:t xml:space="preserve"> this </w:t>
      </w:r>
      <w:r w:rsidDel="00000000" w:rsidR="00000000" w:rsidRPr="00000000">
        <w:rPr>
          <w:rFonts w:ascii="Times New Roman" w:cs="Times New Roman" w:eastAsia="Times New Roman" w:hAnsi="Times New Roman"/>
          <w:i w:val="1"/>
          <w:color w:val="0000ff"/>
          <w:sz w:val="24"/>
          <w:szCs w:val="24"/>
          <w:rtl w:val="0"/>
        </w:rPr>
        <w:t xml:space="preserve">question even</w:t>
      </w:r>
      <w:r w:rsidDel="00000000" w:rsidR="00000000" w:rsidRPr="00000000">
        <w:rPr>
          <w:rFonts w:ascii="Times New Roman" w:cs="Times New Roman" w:eastAsia="Times New Roman" w:hAnsi="Times New Roman"/>
          <w:i w:val="1"/>
          <w:color w:val="0000ff"/>
          <w:sz w:val="24"/>
          <w:szCs w:val="24"/>
          <w:rtl w:val="0"/>
        </w:rPr>
        <w:t xml:space="preserve">. [M]aybe the question…the right question is does using an agent reduce our agency? Or deprive us from our agency interest? ” </w:t>
      </w:r>
      <w:r w:rsidDel="00000000" w:rsidR="00000000" w:rsidRPr="00000000">
        <w:rPr>
          <w:rtl w:val="0"/>
        </w:rPr>
      </w:r>
    </w:p>
    <w:p w:rsidR="00000000" w:rsidDel="00000000" w:rsidP="00000000" w:rsidRDefault="00000000" w:rsidRPr="00000000" w14:paraId="0000006E">
      <w:pPr>
        <w:spacing w:line="360" w:lineRule="auto"/>
        <w:ind w:firstLine="0"/>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06F">
      <w:pPr>
        <w:spacing w:line="360" w:lineRule="auto"/>
        <w:ind w:firstLine="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And on granular instructions, P4 explained, </w:t>
      </w:r>
    </w:p>
    <w:p w:rsidR="00000000" w:rsidDel="00000000" w:rsidP="00000000" w:rsidRDefault="00000000" w:rsidRPr="00000000" w14:paraId="00000070">
      <w:pPr>
        <w:spacing w:line="360" w:lineRule="auto"/>
        <w:ind w:left="720" w:firstLine="0"/>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“I mean, what is the margin that the agent has? …The granularity of the instructions will influence the margin that the agent has, right? If we just say protect my privacy then it would have a lot of space for interpretation. We are precise and we're saying when this then do that, then maybe this with </w:t>
      </w:r>
      <w:r w:rsidDel="00000000" w:rsidR="00000000" w:rsidRPr="00000000">
        <w:rPr>
          <w:rFonts w:ascii="Times New Roman" w:cs="Times New Roman" w:eastAsia="Times New Roman" w:hAnsi="Times New Roman"/>
          <w:i w:val="1"/>
          <w:color w:val="0000ff"/>
          <w:sz w:val="24"/>
          <w:szCs w:val="24"/>
          <w:rtl w:val="0"/>
        </w:rPr>
        <w:t xml:space="preserve">translate</w:t>
      </w:r>
      <w:r w:rsidDel="00000000" w:rsidR="00000000" w:rsidRPr="00000000">
        <w:rPr>
          <w:rFonts w:ascii="Times New Roman" w:cs="Times New Roman" w:eastAsia="Times New Roman" w:hAnsi="Times New Roman"/>
          <w:i w:val="1"/>
          <w:color w:val="0000ff"/>
          <w:sz w:val="24"/>
          <w:szCs w:val="24"/>
          <w:rtl w:val="0"/>
        </w:rPr>
        <w:t xml:space="preserve"> and a higher degree of agency ”</w:t>
      </w:r>
    </w:p>
    <w:p w:rsidR="00000000" w:rsidDel="00000000" w:rsidP="00000000" w:rsidRDefault="00000000" w:rsidRPr="00000000" w14:paraId="00000071">
      <w:pPr>
        <w:spacing w:line="240" w:lineRule="auto"/>
        <w:ind w:left="720" w:firstLine="0"/>
        <w:rPr>
          <w:rFonts w:ascii="Times New Roman" w:cs="Times New Roman" w:eastAsia="Times New Roman" w:hAnsi="Times New Roman"/>
          <w:i w:val="1"/>
          <w:color w:val="0000ff"/>
          <w:sz w:val="24"/>
          <w:szCs w:val="24"/>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maintain human agency, some participants in the group argued that a PPA should not act on users’ behalf but should assist users in making better decisions instead of replacing them (“assist not replace”). Additionally, information about the agent and the data provided should be easily accessible and understandable to users based on their various informational needs, especially for those with low digital skills.</w:t>
      </w:r>
    </w:p>
    <w:p w:rsidR="00000000" w:rsidDel="00000000" w:rsidP="00000000" w:rsidRDefault="00000000" w:rsidRPr="00000000" w14:paraId="00000073">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Fully Automated</w:t>
      </w:r>
    </w:p>
    <w:p w:rsidR="00000000" w:rsidDel="00000000" w:rsidP="00000000" w:rsidRDefault="00000000" w:rsidRPr="00000000" w14:paraId="00000074">
      <w:pPr>
        <w:spacing w:line="360" w:lineRule="auto"/>
        <w:ind w:firstLine="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The discussion on agency first focused on whether using celebrity profiles would curtail a user’s agency in deciding their privacy preferences. The group converged that user agency would not seem tarnished as long as users have the final say in whose profiles to follow. To maintain human agency, participants proposed that users should be reminded regularly of their delegations to PPAs, and visual configuration of active delegation should be displayed. </w:t>
      </w:r>
      <w:r w:rsidDel="00000000" w:rsidR="00000000" w:rsidRPr="00000000">
        <w:rPr>
          <w:rFonts w:ascii="Times New Roman" w:cs="Times New Roman" w:eastAsia="Times New Roman" w:hAnsi="Times New Roman"/>
          <w:color w:val="0000ff"/>
          <w:sz w:val="24"/>
          <w:szCs w:val="24"/>
          <w:rtl w:val="0"/>
        </w:rPr>
        <w:t xml:space="preserve">P5 explained, </w:t>
      </w:r>
    </w:p>
    <w:p w:rsidR="00000000" w:rsidDel="00000000" w:rsidP="00000000" w:rsidRDefault="00000000" w:rsidRPr="00000000" w14:paraId="00000075">
      <w:pPr>
        <w:spacing w:line="360" w:lineRule="auto"/>
        <w:ind w:left="720" w:firstLine="0"/>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“So in order to remain conscious </w:t>
      </w:r>
      <w:r w:rsidDel="00000000" w:rsidR="00000000" w:rsidRPr="00000000">
        <w:rPr>
          <w:rFonts w:ascii="Times New Roman" w:cs="Times New Roman" w:eastAsia="Times New Roman" w:hAnsi="Times New Roman"/>
          <w:i w:val="1"/>
          <w:color w:val="0000ff"/>
          <w:sz w:val="24"/>
          <w:szCs w:val="24"/>
          <w:rtl w:val="0"/>
        </w:rPr>
        <w:t xml:space="preserve">and</w:t>
      </w:r>
      <w:r w:rsidDel="00000000" w:rsidR="00000000" w:rsidRPr="00000000">
        <w:rPr>
          <w:rFonts w:ascii="Times New Roman" w:cs="Times New Roman" w:eastAsia="Times New Roman" w:hAnsi="Times New Roman"/>
          <w:i w:val="1"/>
          <w:color w:val="0000ff"/>
          <w:sz w:val="24"/>
          <w:szCs w:val="24"/>
          <w:rtl w:val="0"/>
        </w:rPr>
        <w:t xml:space="preserve"> your decision to delegate to someone else, you can't just delegate one day, and then you are delegated for the next 5, 20 years, and you forget that you did so. And so it needs to be refreshed, the self awareness of your own decision to delegate. So it's just completely natural…I mean I just put the </w:t>
      </w:r>
      <w:r w:rsidDel="00000000" w:rsidR="00000000" w:rsidRPr="00000000">
        <w:rPr>
          <w:rFonts w:ascii="Times New Roman" w:cs="Times New Roman" w:eastAsia="Times New Roman" w:hAnsi="Times New Roman"/>
          <w:i w:val="1"/>
          <w:color w:val="0000ff"/>
          <w:sz w:val="24"/>
          <w:szCs w:val="24"/>
          <w:rtl w:val="0"/>
        </w:rPr>
        <w:t xml:space="preserve">website I click</w:t>
      </w:r>
      <w:r w:rsidDel="00000000" w:rsidR="00000000" w:rsidRPr="00000000">
        <w:rPr>
          <w:rFonts w:ascii="Times New Roman" w:cs="Times New Roman" w:eastAsia="Times New Roman" w:hAnsi="Times New Roman"/>
          <w:i w:val="1"/>
          <w:color w:val="0000ff"/>
          <w:sz w:val="24"/>
          <w:szCs w:val="24"/>
          <w:rtl w:val="0"/>
        </w:rPr>
        <w:t xml:space="preserve"> a button and then I forget. So those things need to be recorded and regularly updated, </w:t>
      </w:r>
      <w:r w:rsidDel="00000000" w:rsidR="00000000" w:rsidRPr="00000000">
        <w:rPr>
          <w:rFonts w:ascii="Times New Roman" w:cs="Times New Roman" w:eastAsia="Times New Roman" w:hAnsi="Times New Roman"/>
          <w:i w:val="1"/>
          <w:color w:val="0000ff"/>
          <w:sz w:val="24"/>
          <w:szCs w:val="24"/>
          <w:rtl w:val="0"/>
        </w:rPr>
        <w:t xml:space="preserve">And</w:t>
      </w:r>
      <w:r w:rsidDel="00000000" w:rsidR="00000000" w:rsidRPr="00000000">
        <w:rPr>
          <w:rFonts w:ascii="Times New Roman" w:cs="Times New Roman" w:eastAsia="Times New Roman" w:hAnsi="Times New Roman"/>
          <w:i w:val="1"/>
          <w:color w:val="0000ff"/>
          <w:sz w:val="24"/>
          <w:szCs w:val="24"/>
          <w:rtl w:val="0"/>
        </w:rPr>
        <w:t xml:space="preserve"> maybe even the options to change or switch need to be refreshed.” </w:t>
      </w:r>
    </w:p>
    <w:p w:rsidR="00000000" w:rsidDel="00000000" w:rsidP="00000000" w:rsidRDefault="00000000" w:rsidRPr="00000000" w14:paraId="00000076">
      <w:pPr>
        <w:ind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users should check agent correctness and be able to granularly opt in or out of using a specific profile. For example, they could agree with a PPA following Oprah's settings</w:t>
      </w:r>
      <w:r w:rsidDel="00000000" w:rsidR="00000000" w:rsidRPr="00000000">
        <w:rPr>
          <w:rFonts w:ascii="Times New Roman" w:cs="Times New Roman" w:eastAsia="Times New Roman" w:hAnsi="Times New Roman"/>
          <w:i w:val="1"/>
          <w:sz w:val="24"/>
          <w:szCs w:val="24"/>
          <w:rtl w:val="0"/>
        </w:rPr>
        <w:t xml:space="preserve"> except</w:t>
      </w:r>
      <w:r w:rsidDel="00000000" w:rsidR="00000000" w:rsidRPr="00000000">
        <w:rPr>
          <w:rFonts w:ascii="Times New Roman" w:cs="Times New Roman" w:eastAsia="Times New Roman" w:hAnsi="Times New Roman"/>
          <w:sz w:val="24"/>
          <w:szCs w:val="24"/>
          <w:rtl w:val="0"/>
        </w:rPr>
        <w:t xml:space="preserve"> for specific preferences. </w:t>
      </w:r>
    </w:p>
    <w:p w:rsidR="00000000" w:rsidDel="00000000" w:rsidP="00000000" w:rsidRDefault="00000000" w:rsidRPr="00000000" w14:paraId="0000007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avoid manipulation by PPAs, participants stated users should not blindly follow recommendations from celebrity profiles. However, if users choose to follow a profile, participants recommended profiles of trustworthy people who have carefully set up their settings and privacy preferences in their profiles. AI was brought up to detect and counter manipulation attempts, which was expected to verify the identity of those managing user data periodically. Participants further emphasized the need for verification of celebrity profiles. Celebrity profiles would be more likely to be developed by a community than the celebrities themselves. Hence, users need to verify the identities of the developers before adopting these profiles. It was further connected to the transparency of reasons behind a profile's privacy preferences and the motives for developing it.</w:t>
      </w:r>
    </w:p>
    <w:p w:rsidR="00000000" w:rsidDel="00000000" w:rsidP="00000000" w:rsidRDefault="00000000" w:rsidRPr="00000000" w14:paraId="00000079">
      <w:pPr>
        <w:pStyle w:val="Heading3"/>
        <w:spacing w:before="240" w:lineRule="auto"/>
        <w:rPr>
          <w:rFonts w:ascii="Times New Roman" w:cs="Times New Roman" w:eastAsia="Times New Roman" w:hAnsi="Times New Roman"/>
          <w:b w:val="0"/>
          <w:sz w:val="24"/>
          <w:szCs w:val="24"/>
        </w:rPr>
      </w:pPr>
      <w:bookmarkStart w:colFirst="0" w:colLast="0" w:name="_heading=h.gfdelknub9us" w:id="12"/>
      <w:bookmarkEnd w:id="12"/>
      <w:r w:rsidDel="00000000" w:rsidR="00000000" w:rsidRPr="00000000">
        <w:rPr>
          <w:rFonts w:ascii="Times New Roman" w:cs="Times New Roman" w:eastAsia="Times New Roman" w:hAnsi="Times New Roman"/>
          <w:b w:val="0"/>
          <w:sz w:val="24"/>
          <w:szCs w:val="24"/>
          <w:rtl w:val="0"/>
        </w:rPr>
        <w:t xml:space="preserve">5.1.3 Results on Accountability</w:t>
      </w:r>
    </w:p>
    <w:p w:rsidR="00000000" w:rsidDel="00000000" w:rsidP="00000000" w:rsidRDefault="00000000" w:rsidRPr="00000000" w14:paraId="0000007A">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Fully Manual </w:t>
      </w:r>
      <w:r w:rsidDel="00000000" w:rsidR="00000000" w:rsidRPr="00000000">
        <w:rPr>
          <w:rtl w:val="0"/>
        </w:rPr>
      </w:r>
    </w:p>
    <w:p w:rsidR="00000000" w:rsidDel="00000000" w:rsidP="00000000" w:rsidRDefault="00000000" w:rsidRPr="00000000" w14:paraId="0000007B">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in this group agreed that PPAs should be held to higher accountability standards because they impact the privacy and rights of individuals and groups more severely compared to currently available user privacy protection tools. One participant believed that PPAs are likely to be AI systems and should be subsequently subject to the requirements of the AI Act, particularly those applicable to high-risk systems. Participants suggested that making the PPAs available under payment would enhance an agent's accountability. They also recommended creating a general standard to promote the open-source development of PPAs, the publication of auditing reports, and the creation of codes of conduct for GDPR compliance: Auditing criteria by a responsible entity need to be established for reporting, and a code of conduct needs to be adopted after its creation. If co-regulatory auditing was not feasible, participants suggested monitoring the PPA’s data flows, although this might not always be reliable. Through data tracking, blacklists of organizations that violate the data use rules could be created and maintained so that their access to users’ data could be blocked. </w:t>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Regarding wrong decisions made by PPAs and subsequent liability issues, participants agreed that accountability would depend on various factors, including the nature of wrong decision (e.g., a mistake, a decision contrary to users' expressed preference, or a malfunction of the PPA), its avoidability, the existence and type of harm (e.g., financial loss), and the entailed consequences. </w:t>
      </w:r>
    </w:p>
    <w:p w:rsidR="00000000" w:rsidDel="00000000" w:rsidP="00000000" w:rsidRDefault="00000000" w:rsidRPr="00000000" w14:paraId="0000007D">
      <w:pPr>
        <w:ind w:firstLine="0"/>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7E">
      <w:pPr>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Hybrid </w:t>
      </w:r>
    </w:p>
    <w:p w:rsidR="00000000" w:rsidDel="00000000" w:rsidP="00000000" w:rsidRDefault="00000000" w:rsidRPr="00000000" w14:paraId="0000007F">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hybrid group, participants recommended the creation of an obligation for a PPA to act in the best interest of the client (users) and protect the service-client relations against third parties, on the model of the German ‘Schützenswertes Mandatsverhältnis’ (a protected client relationship), which describes the relationship between a client and an accountant. Renewable certifications issued by an international organization were also suggested to be established and required for PPAs. Participants also raised the importance of educating users on the meaning of the certificates and the consequences of PPA usage. In that respect, explainability was also considered vital, as </w:t>
      </w:r>
      <w:r w:rsidDel="00000000" w:rsidR="00000000" w:rsidRPr="00000000">
        <w:rPr>
          <w:rFonts w:ascii="Times New Roman" w:cs="Times New Roman" w:eastAsia="Times New Roman" w:hAnsi="Times New Roman"/>
          <w:color w:val="0000ff"/>
          <w:sz w:val="24"/>
          <w:szCs w:val="24"/>
          <w:rtl w:val="0"/>
        </w:rPr>
        <w:t xml:space="preserve">P2 </w:t>
      </w:r>
      <w:r w:rsidDel="00000000" w:rsidR="00000000" w:rsidRPr="00000000">
        <w:rPr>
          <w:rFonts w:ascii="Times New Roman" w:cs="Times New Roman" w:eastAsia="Times New Roman" w:hAnsi="Times New Roman"/>
          <w:sz w:val="24"/>
          <w:szCs w:val="24"/>
          <w:rtl w:val="0"/>
        </w:rPr>
        <w:t xml:space="preserve">elaborated: “</w:t>
      </w:r>
      <w:r w:rsidDel="00000000" w:rsidR="00000000" w:rsidRPr="00000000">
        <w:rPr>
          <w:rFonts w:ascii="Times New Roman" w:cs="Times New Roman" w:eastAsia="Times New Roman" w:hAnsi="Times New Roman"/>
          <w:i w:val="1"/>
          <w:sz w:val="24"/>
          <w:szCs w:val="24"/>
          <w:rtl w:val="0"/>
        </w:rPr>
        <w:t xml:space="preserve">Together with the certifications, [users should] understand at least what it does, so the processes, and then you [the user] set your level of control.</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raised the possibility of consumer law to regulate PPAs. Instead of a regulation establishing how these applications should function and their limits, PPAs could also be assessed by the market through a rating system akin to reviews in app stores. For oversight, users of PPA should occasionally verify whether facts still hold (akin to dynamic consent), and should be given the possibility to lodge a complaint. To the participants, liability was considered contingent on the risk level, which should be based on the type of data processing. The PPA could flag potential issues for users if the risk is high, but users were perceived to be the ones deciding whether to continue with the data transaction or not. Participants said agents should also provide provenance and traceability of data transactions and provide users with relevant information.</w:t>
      </w:r>
    </w:p>
    <w:p w:rsidR="00000000" w:rsidDel="00000000" w:rsidP="00000000" w:rsidRDefault="00000000" w:rsidRPr="00000000" w14:paraId="00000081">
      <w:pPr>
        <w:spacing w:before="240" w:lineRule="auto"/>
        <w:ind w:firstLine="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Fully Automated</w:t>
      </w:r>
    </w:p>
    <w:p w:rsidR="00000000" w:rsidDel="00000000" w:rsidP="00000000" w:rsidRDefault="00000000" w:rsidRPr="00000000" w14:paraId="00000082">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had different ideas on the procedures needed for the oversight of fully automated PPAs. In particular, a key question was whether oversight should target the PPAs and their developers or the developers responsible for creating the celebrity profiles whose privacy preferences users may follow. Participants proposed aggregating human evaluations to oversee agent correctness. They emphasized the role of communities that should take oversight roles. Another focus was on the need to audit those who develop celebrity profiles since these are unlikely to be created by actual celebrities. </w:t>
      </w:r>
      <w:r w:rsidDel="00000000" w:rsidR="00000000" w:rsidRPr="00000000">
        <w:rPr>
          <w:rFonts w:ascii="Times New Roman" w:cs="Times New Roman" w:eastAsia="Times New Roman" w:hAnsi="Times New Roman"/>
          <w:color w:val="0000ff"/>
          <w:sz w:val="24"/>
          <w:szCs w:val="24"/>
          <w:rtl w:val="0"/>
        </w:rPr>
        <w:t xml:space="preserve">P1</w:t>
      </w:r>
      <w:r w:rsidDel="00000000" w:rsidR="00000000" w:rsidRPr="00000000">
        <w:rPr>
          <w:rFonts w:ascii="Times New Roman" w:cs="Times New Roman" w:eastAsia="Times New Roman" w:hAnsi="Times New Roman"/>
          <w:sz w:val="24"/>
          <w:szCs w:val="24"/>
          <w:rtl w:val="0"/>
        </w:rPr>
        <w:t xml:space="preserve"> stressed the importance of human accountability, stating, </w:t>
      </w:r>
      <w:r w:rsidDel="00000000" w:rsidR="00000000" w:rsidRPr="00000000">
        <w:rPr>
          <w:rFonts w:ascii="Times New Roman" w:cs="Times New Roman" w:eastAsia="Times New Roman" w:hAnsi="Times New Roman"/>
          <w:i w:val="1"/>
          <w:sz w:val="24"/>
          <w:szCs w:val="24"/>
          <w:rtl w:val="0"/>
        </w:rPr>
        <w:t xml:space="preserve">“I don't even care if there is a degree of human oversight. You just need to have accountability: You need human accountability.</w:t>
      </w:r>
      <w:r w:rsidDel="00000000" w:rsidR="00000000" w:rsidRPr="00000000">
        <w:rPr>
          <w:rFonts w:ascii="Times New Roman" w:cs="Times New Roman" w:eastAsia="Times New Roman" w:hAnsi="Times New Roman"/>
          <w:sz w:val="24"/>
          <w:szCs w:val="24"/>
          <w:rtl w:val="0"/>
        </w:rPr>
        <w:t xml:space="preserve"> ”  </w:t>
      </w:r>
    </w:p>
    <w:p w:rsidR="00000000" w:rsidDel="00000000" w:rsidP="00000000" w:rsidRDefault="00000000" w:rsidRPr="00000000" w14:paraId="0000008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for users to trust the decisions made by PPA, participants brought three strategies: personal and professional user profiles should be distinguished (ring fence); users should be able to know who processes their data, and what kind of decisions these parties take (transparency); and governance (“Agents must be regulated by security professionals” ). When discussing who should be responsible for wrong decisions made by an agent, three entities were identified: the creator of the assistant, the user (who failed to check the agent before use), and the external entity that exploits the agent to obtain user information. </w:t>
      </w:r>
    </w:p>
    <w:p w:rsidR="00000000" w:rsidDel="00000000" w:rsidP="00000000" w:rsidRDefault="00000000" w:rsidRPr="00000000" w14:paraId="00000084">
      <w:pPr>
        <w:pStyle w:val="Heading2"/>
        <w:ind w:firstLine="0"/>
        <w:rPr>
          <w:rFonts w:ascii="Times New Roman" w:cs="Times New Roman" w:eastAsia="Times New Roman" w:hAnsi="Times New Roman"/>
          <w:sz w:val="24"/>
          <w:szCs w:val="24"/>
        </w:rPr>
      </w:pPr>
      <w:bookmarkStart w:colFirst="0" w:colLast="0" w:name="_heading=h.bfsbxjuc1aht" w:id="13"/>
      <w:bookmarkEnd w:id="13"/>
      <w:r w:rsidDel="00000000" w:rsidR="00000000" w:rsidRPr="00000000">
        <w:rPr>
          <w:rFonts w:ascii="Times New Roman" w:cs="Times New Roman" w:eastAsia="Times New Roman" w:hAnsi="Times New Roman"/>
          <w:sz w:val="24"/>
          <w:szCs w:val="24"/>
          <w:rtl w:val="0"/>
        </w:rPr>
        <w:t xml:space="preserve">5.2 Activity Two: Backcasting exercise from the year 2033 to 2023</w:t>
      </w:r>
    </w:p>
    <w:p w:rsidR="00000000" w:rsidDel="00000000" w:rsidP="00000000" w:rsidRDefault="00000000" w:rsidRPr="00000000" w14:paraId="00000085">
      <w:pPr>
        <w:pStyle w:val="Heading3"/>
        <w:spacing w:before="240" w:lineRule="auto"/>
        <w:rPr>
          <w:rFonts w:ascii="Times New Roman" w:cs="Times New Roman" w:eastAsia="Times New Roman" w:hAnsi="Times New Roman"/>
          <w:b w:val="0"/>
          <w:sz w:val="24"/>
          <w:szCs w:val="24"/>
        </w:rPr>
      </w:pPr>
      <w:bookmarkStart w:colFirst="0" w:colLast="0" w:name="_heading=h.gc0vgkso98zl" w:id="14"/>
      <w:bookmarkEnd w:id="14"/>
      <w:r w:rsidDel="00000000" w:rsidR="00000000" w:rsidRPr="00000000">
        <w:rPr>
          <w:rFonts w:ascii="Times New Roman" w:cs="Times New Roman" w:eastAsia="Times New Roman" w:hAnsi="Times New Roman"/>
          <w:b w:val="0"/>
          <w:sz w:val="24"/>
          <w:szCs w:val="24"/>
          <w:rtl w:val="0"/>
        </w:rPr>
        <w:t xml:space="preserve">5.2.1 Results on Fully Manual Setup</w:t>
      </w:r>
    </w:p>
    <w:p w:rsidR="00000000" w:rsidDel="00000000" w:rsidP="00000000" w:rsidRDefault="00000000" w:rsidRPr="00000000" w14:paraId="00000086">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nominated neutral parties such as academia, the EU Parliament (using a resolution), and multi-stakeholder engagement (exemplified by the Global Privacy Control</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 The collaboration of multiple stakeholders pointed to a ‘coalition of the willing’ that could standardize the development of PPAs. </w:t>
      </w:r>
    </w:p>
    <w:p w:rsidR="00000000" w:rsidDel="00000000" w:rsidP="00000000" w:rsidRDefault="00000000" w:rsidRPr="00000000" w14:paraId="00000087">
      <w:pPr>
        <w:ind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If multiple stakeholders were involved in the development and implementation of PPAs, an open-standard approach was recommended for the standardization of PPAs. Interoperability and the process for standard-setting were also discussed because, to the participants, currently there is a lack of agreed-upon machine-readable semantics for describing data/information, machine-readable formats of data, or compatibility between different tools developed under the Solid specification. </w:t>
      </w:r>
      <w:r w:rsidDel="00000000" w:rsidR="00000000" w:rsidRPr="00000000">
        <w:rPr>
          <w:rFonts w:ascii="Times New Roman" w:cs="Times New Roman" w:eastAsia="Times New Roman" w:hAnsi="Times New Roman"/>
          <w:color w:val="0000ff"/>
          <w:sz w:val="24"/>
          <w:szCs w:val="24"/>
          <w:rtl w:val="0"/>
        </w:rPr>
        <w:t xml:space="preserve">P2 explained the reasoning,</w:t>
      </w:r>
    </w:p>
    <w:p w:rsidR="00000000" w:rsidDel="00000000" w:rsidP="00000000" w:rsidRDefault="00000000" w:rsidRPr="00000000" w14:paraId="00000088">
      <w:pPr>
        <w:spacing w:line="360" w:lineRule="auto"/>
        <w:ind w:left="720" w:firstLine="0"/>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“And the thing is that if you leave it up to the company to provide you an agent or software, it's always going to work in their interest. We just have to work with this assumption. The key thing to start with is, what are the environments that the user is using? Do they support such tools? And the answer is currently no. Whether it's Solid or smartphone or whatever, we don't have the ability to use such things… And the most critical of this is information. So right now, the only way </w:t>
      </w:r>
      <w:r w:rsidDel="00000000" w:rsidR="00000000" w:rsidRPr="00000000">
        <w:rPr>
          <w:rFonts w:ascii="Times New Roman" w:cs="Times New Roman" w:eastAsia="Times New Roman" w:hAnsi="Times New Roman"/>
          <w:i w:val="1"/>
          <w:color w:val="0000ff"/>
          <w:sz w:val="24"/>
          <w:szCs w:val="24"/>
          <w:rtl w:val="0"/>
        </w:rPr>
        <w:t xml:space="preserve">information disseminated</w:t>
      </w:r>
      <w:r w:rsidDel="00000000" w:rsidR="00000000" w:rsidRPr="00000000">
        <w:rPr>
          <w:rFonts w:ascii="Times New Roman" w:cs="Times New Roman" w:eastAsia="Times New Roman" w:hAnsi="Times New Roman"/>
          <w:i w:val="1"/>
          <w:color w:val="0000ff"/>
          <w:sz w:val="24"/>
          <w:szCs w:val="24"/>
          <w:rtl w:val="0"/>
        </w:rPr>
        <w:t xml:space="preserve"> is either the stupid privacy policies which are not accurate at all, or just misleading. Or you have your consent dialogues and other interactive dialogues, which are also not very great. So this is not okay for tools. You cannot reverse engineer text that is illegal in the first place. It's useless. So we need something that can work with these tools and in terms of semantics, in terms of being automated machine readable, that is currently missing. Once we have all of this, the raw data in place, then we can build out algorithms, and we can think, okay, how do we match preferences? How do we </w:t>
      </w:r>
      <w:r w:rsidDel="00000000" w:rsidR="00000000" w:rsidRPr="00000000">
        <w:rPr>
          <w:rFonts w:ascii="Times New Roman" w:cs="Times New Roman" w:eastAsia="Times New Roman" w:hAnsi="Times New Roman"/>
          <w:i w:val="1"/>
          <w:color w:val="0000ff"/>
          <w:sz w:val="24"/>
          <w:szCs w:val="24"/>
          <w:rtl w:val="0"/>
        </w:rPr>
        <w:t xml:space="preserve">express in fact</w:t>
      </w:r>
      <w:r w:rsidDel="00000000" w:rsidR="00000000" w:rsidRPr="00000000">
        <w:rPr>
          <w:rFonts w:ascii="Times New Roman" w:cs="Times New Roman" w:eastAsia="Times New Roman" w:hAnsi="Times New Roman"/>
          <w:i w:val="1"/>
          <w:color w:val="0000ff"/>
          <w:sz w:val="24"/>
          <w:szCs w:val="24"/>
          <w:rtl w:val="0"/>
        </w:rPr>
        <w:t xml:space="preserve">? How do we get the users to participate? ”</w:t>
      </w:r>
    </w:p>
    <w:p w:rsidR="00000000" w:rsidDel="00000000" w:rsidP="00000000" w:rsidRDefault="00000000" w:rsidRPr="00000000" w14:paraId="00000089">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development of PPAs to be feasible, it was believed to be essential to establish standardized, structured information formats and agree upon communication mechanisms. Participants highlighted that these mechanisms must enable the PPA to both receive the necessary information to make privacy decisions and convey the decisions it makes. Participants mentioned the need for regulatory developments to enable the implementation of interoperability standards and for clarifications from the European Data Protection Board to ensure consistency on interoperability standards and their application within the EU. </w:t>
      </w:r>
    </w:p>
    <w:p w:rsidR="00000000" w:rsidDel="00000000" w:rsidP="00000000" w:rsidRDefault="00000000" w:rsidRPr="00000000" w14:paraId="0000008B">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emphasized the need for regulatory innovation, such as sandboxes, for the general development of PPAs. They also suggested that more forums and conferences should be organized for the academic community and industry. Such venues offer interaction between the two and enable a better exchange and alignment of problems, interests, and approaches to PPAs, PPA research, and prototypes.</w:t>
      </w:r>
    </w:p>
    <w:p w:rsidR="00000000" w:rsidDel="00000000" w:rsidP="00000000" w:rsidRDefault="00000000" w:rsidRPr="00000000" w14:paraId="0000008C">
      <w:pPr>
        <w:pStyle w:val="Heading3"/>
        <w:spacing w:after="80" w:before="320" w:lineRule="auto"/>
        <w:rPr>
          <w:rFonts w:ascii="Times New Roman" w:cs="Times New Roman" w:eastAsia="Times New Roman" w:hAnsi="Times New Roman"/>
          <w:b w:val="0"/>
          <w:sz w:val="24"/>
          <w:szCs w:val="24"/>
        </w:rPr>
      </w:pPr>
      <w:bookmarkStart w:colFirst="0" w:colLast="0" w:name="_heading=h.6oqmd59b4epj" w:id="15"/>
      <w:bookmarkEnd w:id="15"/>
      <w:r w:rsidDel="00000000" w:rsidR="00000000" w:rsidRPr="00000000">
        <w:rPr>
          <w:rFonts w:ascii="Times New Roman" w:cs="Times New Roman" w:eastAsia="Times New Roman" w:hAnsi="Times New Roman"/>
          <w:b w:val="0"/>
          <w:sz w:val="24"/>
          <w:szCs w:val="24"/>
          <w:rtl w:val="0"/>
        </w:rPr>
        <w:t xml:space="preserve">5.2.2 Results on Hybrid Manual-Automated Setup</w:t>
      </w:r>
      <w:r w:rsidDel="00000000" w:rsidR="00000000" w:rsidRPr="00000000">
        <w:rPr>
          <w:rtl w:val="0"/>
        </w:rPr>
      </w:r>
    </w:p>
    <w:p w:rsidR="00000000" w:rsidDel="00000000" w:rsidP="00000000" w:rsidRDefault="00000000" w:rsidRPr="00000000" w14:paraId="0000008D">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Within the hybrid settings, participants moved to the topic of consent, specifically debating the feasibility of creating consent receipts—documents evidencing privacy transactions based on a common “privacy ontology,” that is, a standardized semantic specification about data privacy, such as the W3C’s Data Privacy Vocabulary </w:t>
      </w:r>
      <w:r w:rsidDel="00000000" w:rsidR="00000000" w:rsidRPr="00000000">
        <w:rPr>
          <w:rFonts w:ascii="Times New Roman" w:cs="Times New Roman" w:eastAsia="Times New Roman" w:hAnsi="Times New Roman"/>
          <w:color w:val="000000"/>
          <w:sz w:val="24"/>
          <w:szCs w:val="24"/>
          <w:rtl w:val="0"/>
        </w:rPr>
        <w:t xml:space="preserve">(Pandit et al., 2019)</w:t>
      </w:r>
      <w:r w:rsidDel="00000000" w:rsidR="00000000" w:rsidRPr="00000000">
        <w:rPr>
          <w:rFonts w:ascii="Times New Roman" w:cs="Times New Roman" w:eastAsia="Times New Roman" w:hAnsi="Times New Roman"/>
          <w:sz w:val="24"/>
          <w:szCs w:val="24"/>
          <w:rtl w:val="0"/>
        </w:rPr>
        <w:t xml:space="preserve">. Given the stability of DPV, participants considered it a suitable foundation for developing hybrid PPAs that utilize a user’s expressed privacy preferences. </w:t>
      </w:r>
    </w:p>
    <w:p w:rsidR="00000000" w:rsidDel="00000000" w:rsidP="00000000" w:rsidRDefault="00000000" w:rsidRPr="00000000" w14:paraId="0000008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 discussion centered on the proposal to establish a registry for PPA providers, similar to the DGA’s mandatory registration of data intermediaries. The discussion extended to what it entails for PPAs to act in the best interest of users, underlining the need to establish codes of conduct, certifications, or guidelines to standardize PPA services.</w:t>
      </w:r>
    </w:p>
    <w:p w:rsidR="00000000" w:rsidDel="00000000" w:rsidP="00000000" w:rsidRDefault="00000000" w:rsidRPr="00000000" w14:paraId="0000008F">
      <w:pPr>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The role regarding legal classification of intermediaries, such as Pods, as either intermediary services (in DGA), data controllers or processors (in GDPR), or a combination thereof, was also scrutinized by participants and deemed important for clarification. </w:t>
      </w:r>
      <w:r w:rsidDel="00000000" w:rsidR="00000000" w:rsidRPr="00000000">
        <w:rPr>
          <w:rFonts w:ascii="Times New Roman" w:cs="Times New Roman" w:eastAsia="Times New Roman" w:hAnsi="Times New Roman"/>
          <w:sz w:val="24"/>
          <w:szCs w:val="24"/>
          <w:rtl w:val="0"/>
        </w:rPr>
        <w:t xml:space="preserve">Concerns were raised about potential conflicts of interest, particularly if a data intermediary, in this case, a Pod, also serves as a data controller/processor. </w:t>
      </w:r>
      <w:r w:rsidDel="00000000" w:rsidR="00000000" w:rsidRPr="00000000">
        <w:rPr>
          <w:rFonts w:ascii="Times New Roman" w:cs="Times New Roman" w:eastAsia="Times New Roman" w:hAnsi="Times New Roman"/>
          <w:color w:val="0000ff"/>
          <w:sz w:val="24"/>
          <w:szCs w:val="24"/>
          <w:rtl w:val="0"/>
        </w:rPr>
        <w:t xml:space="preserve">As the participants debated on the nature of Pod providers: </w:t>
      </w:r>
    </w:p>
    <w:p w:rsidR="00000000" w:rsidDel="00000000" w:rsidP="00000000" w:rsidRDefault="00000000" w:rsidRPr="00000000" w14:paraId="00000090">
      <w:pPr>
        <w:ind w:left="720" w:firstLine="0"/>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P2: And a solid pod is an intermediary In essence. somebody will provide [PPAs as] the provider. </w:t>
      </w:r>
    </w:p>
    <w:p w:rsidR="00000000" w:rsidDel="00000000" w:rsidP="00000000" w:rsidRDefault="00000000" w:rsidRPr="00000000" w14:paraId="00000091">
      <w:pPr>
        <w:shd w:fill="auto" w:val="clear"/>
        <w:spacing w:line="240" w:lineRule="auto"/>
        <w:ind w:left="720" w:firstLine="0"/>
        <w:jc w:val="left"/>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P4: The [PPA] provider is the controller. The pod itself is just storage. It's the processor.</w:t>
      </w:r>
    </w:p>
    <w:p w:rsidR="00000000" w:rsidDel="00000000" w:rsidP="00000000" w:rsidRDefault="00000000" w:rsidRPr="00000000" w14:paraId="00000092">
      <w:pPr>
        <w:shd w:fill="auto" w:val="clear"/>
        <w:spacing w:line="240" w:lineRule="auto"/>
        <w:ind w:left="720" w:firstLine="0"/>
        <w:jc w:val="left"/>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P2:  Not even the processor and say it's not an </w:t>
      </w:r>
      <w:r w:rsidDel="00000000" w:rsidR="00000000" w:rsidRPr="00000000">
        <w:rPr>
          <w:rFonts w:ascii="Times New Roman" w:cs="Times New Roman" w:eastAsia="Times New Roman" w:hAnsi="Times New Roman"/>
          <w:i w:val="1"/>
          <w:color w:val="0000ff"/>
          <w:sz w:val="24"/>
          <w:szCs w:val="24"/>
          <w:rtl w:val="0"/>
        </w:rPr>
        <w:t xml:space="preserve">interest</w:t>
      </w:r>
      <w:r w:rsidDel="00000000" w:rsidR="00000000" w:rsidRPr="00000000">
        <w:rPr>
          <w:rFonts w:ascii="Times New Roman" w:cs="Times New Roman" w:eastAsia="Times New Roman" w:hAnsi="Times New Roman"/>
          <w:i w:val="1"/>
          <w:color w:val="0000ff"/>
          <w:sz w:val="24"/>
          <w:szCs w:val="24"/>
          <w:rtl w:val="0"/>
        </w:rPr>
        <w:t xml:space="preserve"> service as a software that depends on you…They should act </w:t>
      </w:r>
      <w:r w:rsidDel="00000000" w:rsidR="00000000" w:rsidRPr="00000000">
        <w:rPr>
          <w:rFonts w:ascii="Times New Roman" w:cs="Times New Roman" w:eastAsia="Times New Roman" w:hAnsi="Times New Roman"/>
          <w:i w:val="1"/>
          <w:color w:val="0000ff"/>
          <w:sz w:val="24"/>
          <w:szCs w:val="24"/>
          <w:rtl w:val="0"/>
        </w:rPr>
        <w:t xml:space="preserve">in your</w:t>
      </w:r>
      <w:r w:rsidDel="00000000" w:rsidR="00000000" w:rsidRPr="00000000">
        <w:rPr>
          <w:rFonts w:ascii="Times New Roman" w:cs="Times New Roman" w:eastAsia="Times New Roman" w:hAnsi="Times New Roman"/>
          <w:i w:val="1"/>
          <w:color w:val="0000ff"/>
          <w:sz w:val="24"/>
          <w:szCs w:val="24"/>
          <w:rtl w:val="0"/>
        </w:rPr>
        <w:t xml:space="preserve"> behalf. </w:t>
      </w:r>
    </w:p>
    <w:p w:rsidR="00000000" w:rsidDel="00000000" w:rsidP="00000000" w:rsidRDefault="00000000" w:rsidRPr="00000000" w14:paraId="00000093">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ff"/>
          <w:sz w:val="24"/>
          <w:szCs w:val="24"/>
          <w:rtl w:val="0"/>
        </w:rPr>
        <w:t xml:space="preserve">P1 cited</w:t>
      </w:r>
      <w:r w:rsidDel="00000000" w:rsidR="00000000" w:rsidRPr="00000000">
        <w:rPr>
          <w:rFonts w:ascii="Times New Roman" w:cs="Times New Roman" w:eastAsia="Times New Roman" w:hAnsi="Times New Roman"/>
          <w:sz w:val="24"/>
          <w:szCs w:val="24"/>
          <w:rtl w:val="0"/>
        </w:rPr>
        <w:t xml:space="preserve"> the DGA, in which a data intermediary could not be the same entity that commercializes the data. Thus, participants expressed the need to establish or clarify whether Pod providers could also offer PPAs as well as the degree of user choices </w:t>
      </w:r>
      <w:r w:rsidDel="00000000" w:rsidR="00000000" w:rsidRPr="00000000">
        <w:rPr>
          <w:rFonts w:ascii="Times New Roman" w:cs="Times New Roman" w:eastAsia="Times New Roman" w:hAnsi="Times New Roman"/>
          <w:color w:val="0000ff"/>
          <w:sz w:val="24"/>
          <w:szCs w:val="24"/>
          <w:rtl w:val="0"/>
        </w:rPr>
        <w:t xml:space="preserve">regarding the possible dual role of Pod providers as PPA providers</w:t>
      </w:r>
      <w:r w:rsidDel="00000000" w:rsidR="00000000" w:rsidRPr="00000000">
        <w:rPr>
          <w:rFonts w:ascii="Times New Roman" w:cs="Times New Roman" w:eastAsia="Times New Roman" w:hAnsi="Times New Roman"/>
          <w:sz w:val="24"/>
          <w:szCs w:val="24"/>
          <w:rtl w:val="0"/>
        </w:rPr>
        <w:t xml:space="preserve"> in such scenarios. Moreover, to ensure data traceability and provenance —and to support accountability—Pod providers (considered as data intermediaries by participants) should provide accessible logs and maintain data that is both traceable and retractable.</w:t>
      </w:r>
      <w:r w:rsidDel="00000000" w:rsidR="00000000" w:rsidRPr="00000000">
        <w:rPr>
          <w:rtl w:val="0"/>
        </w:rPr>
      </w:r>
    </w:p>
    <w:p w:rsidR="00000000" w:rsidDel="00000000" w:rsidP="00000000" w:rsidRDefault="00000000" w:rsidRPr="00000000" w14:paraId="0000009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discussion also touched upon the potential for Pod providers to implement warning systems, flag untrustworthy third parties that ask for data access, and give privacy ratings to third parties, which aims to afford users mechanisms for better estimates on whether to grant access to third-party data requests. To ensure the neutrality of such ratings, participants suggested legal criteria such as the regulatory requirements for energy efficiency or the use of criteria developed by companies. Regardless, metrics to measure compliance with criteria were suggested to be monitored over time. Certifications for compliance with established standards were also brought up as a way to provide information on the trustworthiness of a third party accessing the data. One participant proposed using a regulatory sandbox to test the agent, allowing controlled settings for testing different scenarios. </w:t>
      </w:r>
    </w:p>
    <w:p w:rsidR="00000000" w:rsidDel="00000000" w:rsidP="00000000" w:rsidRDefault="00000000" w:rsidRPr="00000000" w14:paraId="0000009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pStyle w:val="Heading3"/>
        <w:rPr>
          <w:rFonts w:ascii="Times New Roman" w:cs="Times New Roman" w:eastAsia="Times New Roman" w:hAnsi="Times New Roman"/>
          <w:b w:val="0"/>
          <w:sz w:val="24"/>
          <w:szCs w:val="24"/>
        </w:rPr>
      </w:pPr>
      <w:bookmarkStart w:colFirst="0" w:colLast="0" w:name="_heading=h.d86ncrd2wyu7" w:id="16"/>
      <w:bookmarkEnd w:id="16"/>
      <w:r w:rsidDel="00000000" w:rsidR="00000000" w:rsidRPr="00000000">
        <w:rPr>
          <w:rFonts w:ascii="Times New Roman" w:cs="Times New Roman" w:eastAsia="Times New Roman" w:hAnsi="Times New Roman"/>
          <w:b w:val="0"/>
          <w:sz w:val="24"/>
          <w:szCs w:val="24"/>
          <w:rtl w:val="0"/>
        </w:rPr>
        <w:t xml:space="preserve">5.2.3 Results on Fully-Automated Setup</w:t>
      </w:r>
    </w:p>
    <w:p w:rsidR="00000000" w:rsidDel="00000000" w:rsidP="00000000" w:rsidRDefault="00000000" w:rsidRPr="00000000" w14:paraId="00000098">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first discussed the challenges of integrating full automation within the current legal framework of the GDPR, notably pointing to Art. 22. Participants interpreted Article 22 of the GDPR as the need for users to give explicit consent to the decisions made by fully automated PPAs. To the participants, whether such consent would need to be given for each decision or just once for the PPA to be installed would determine if a fully automated PPA could flourish on the market. Looking ahead to 2033, the group emphasized the need for accountability measures and better regulations to keep PPAs in check. For example, they suggested that information data controllers are mandated to disclose under the GDPR should be made explicitly auditable and publicly available by PPA developers. </w:t>
      </w:r>
    </w:p>
    <w:p w:rsidR="00000000" w:rsidDel="00000000" w:rsidP="00000000" w:rsidRDefault="00000000" w:rsidRPr="00000000" w14:paraId="0000009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Cryptography was proposed as a viable option to realize a fully automated PPA. P6 explained how, </w:t>
      </w:r>
    </w:p>
    <w:p w:rsidR="00000000" w:rsidDel="00000000" w:rsidP="00000000" w:rsidRDefault="00000000" w:rsidRPr="00000000" w14:paraId="0000009A">
      <w:pPr>
        <w:shd w:fill="auto" w:val="clear"/>
        <w:spacing w:after="240" w:before="240" w:line="360" w:lineRule="auto"/>
        <w:ind w:left="720" w:firstLine="0"/>
        <w:jc w:val="left"/>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“If you use a cryptographic access control…This automatic consent is an automatic management of cryptographic keys. So indeed, you can optimize the disclosure of information by giving the right key to the right people. That's the way to automatize things. If I use the system to consent my medical data to the doctor, it implies that automatically the system may release the proper key to let the doctor see my data. If we are not only automating the consent collection, but also the consent enforcement, cryptographic access control is the only way I think to make it possible.”</w:t>
      </w:r>
    </w:p>
    <w:p w:rsidR="00000000" w:rsidDel="00000000" w:rsidP="00000000" w:rsidRDefault="00000000" w:rsidRPr="00000000" w14:paraId="0000009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ff"/>
          <w:sz w:val="24"/>
          <w:szCs w:val="24"/>
          <w:rtl w:val="0"/>
        </w:rPr>
        <w:t xml:space="preserve">Steganographic watermarks to trace any unauthorized sharing of personal data were raised to complement cryptography</w:t>
      </w:r>
      <w:r w:rsidDel="00000000" w:rsidR="00000000" w:rsidRPr="00000000">
        <w:rPr>
          <w:rFonts w:ascii="Times New Roman" w:cs="Times New Roman" w:eastAsia="Times New Roman" w:hAnsi="Times New Roman"/>
          <w:sz w:val="24"/>
          <w:szCs w:val="24"/>
          <w:rtl w:val="0"/>
        </w:rPr>
        <w:t xml:space="preserve"> (P6 </w:t>
      </w:r>
      <w:r w:rsidDel="00000000" w:rsidR="00000000" w:rsidRPr="00000000">
        <w:rPr>
          <w:rFonts w:ascii="Times New Roman" w:cs="Times New Roman" w:eastAsia="Times New Roman" w:hAnsi="Times New Roman"/>
          <w:i w:val="1"/>
          <w:sz w:val="24"/>
          <w:szCs w:val="24"/>
          <w:rtl w:val="0"/>
        </w:rPr>
        <w:t xml:space="preserve">“Unless you make some steganographic technique to mark data that has been disclosed by these. And then if you find out that someone and somebody else has it, you can trace back with the culprit for disclosure.”</w:t>
      </w:r>
      <w:r w:rsidDel="00000000" w:rsidR="00000000" w:rsidRPr="00000000">
        <w:rPr>
          <w:rFonts w:ascii="Times New Roman" w:cs="Times New Roman" w:eastAsia="Times New Roman" w:hAnsi="Times New Roman"/>
          <w:sz w:val="24"/>
          <w:szCs w:val="24"/>
          <w:rtl w:val="0"/>
        </w:rPr>
        <w:t xml:space="preserve">). Combined, they could allow users to grant access to entities with the right attributes to data stored in personal Pods using attribute-based encryption keys, </w:t>
      </w:r>
      <w:r w:rsidDel="00000000" w:rsidR="00000000" w:rsidRPr="00000000">
        <w:rPr>
          <w:rFonts w:ascii="Times New Roman" w:cs="Times New Roman" w:eastAsia="Times New Roman" w:hAnsi="Times New Roman"/>
          <w:color w:val="0000ff"/>
          <w:sz w:val="24"/>
          <w:szCs w:val="24"/>
          <w:rtl w:val="0"/>
        </w:rPr>
        <w:t xml:space="preserve">while the hidden watermark would make it possible to identify the source if the data appears elsewhere.</w:t>
      </w:r>
      <w:r w:rsidDel="00000000" w:rsidR="00000000" w:rsidRPr="00000000">
        <w:rPr>
          <w:rFonts w:ascii="Times New Roman" w:cs="Times New Roman" w:eastAsia="Times New Roman" w:hAnsi="Times New Roman"/>
          <w:sz w:val="24"/>
          <w:szCs w:val="24"/>
          <w:rtl w:val="0"/>
        </w:rPr>
        <w:t xml:space="preserve"> However, participants raised two concerns regarding the adoption of cryptography. First, users need the ability to revoke attribute-based encryption keys they have granted to entities. Second, entities with access should somehow be prevented from selling the data.</w:t>
      </w:r>
    </w:p>
    <w:p w:rsidR="00000000" w:rsidDel="00000000" w:rsidP="00000000" w:rsidRDefault="00000000" w:rsidRPr="00000000" w14:paraId="0000009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emphasized the explainability of abnormal behaviors and misbehaviors of PPAs so that “</w:t>
      </w:r>
      <w:r w:rsidDel="00000000" w:rsidR="00000000" w:rsidRPr="00000000">
        <w:rPr>
          <w:rFonts w:ascii="Times New Roman" w:cs="Times New Roman" w:eastAsia="Times New Roman" w:hAnsi="Times New Roman"/>
          <w:i w:val="1"/>
          <w:sz w:val="24"/>
          <w:szCs w:val="24"/>
          <w:rtl w:val="0"/>
        </w:rPr>
        <w:t xml:space="preserve">when there is an activity that is suspicious, you [PPAs] should be able to then explain why the decision to grant access to the data was made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ff"/>
          <w:sz w:val="24"/>
          <w:szCs w:val="24"/>
          <w:rtl w:val="0"/>
        </w:rPr>
        <w:t xml:space="preserve">(P5)</w:t>
      </w:r>
      <w:r w:rsidDel="00000000" w:rsidR="00000000" w:rsidRPr="00000000">
        <w:rPr>
          <w:rFonts w:ascii="Times New Roman" w:cs="Times New Roman" w:eastAsia="Times New Roman" w:hAnsi="Times New Roman"/>
          <w:sz w:val="24"/>
          <w:szCs w:val="24"/>
          <w:rtl w:val="0"/>
        </w:rPr>
        <w:t xml:space="preserve">. In addition, explainability was also considered to be the explanation of the choice made by an agent. Participants argued that PPA users should be able to move between hybrid and fully automated PPAs. Thus, when mistakes were made in a fully automated setting, users could switch to a hybrid setting instead. </w:t>
      </w:r>
    </w:p>
    <w:p w:rsidR="00000000" w:rsidDel="00000000" w:rsidP="00000000" w:rsidRDefault="00000000" w:rsidRPr="00000000" w14:paraId="0000009E">
      <w:pPr>
        <w:pStyle w:val="Heading1"/>
        <w:spacing w:before="240" w:lineRule="auto"/>
        <w:rPr>
          <w:rFonts w:ascii="Times New Roman" w:cs="Times New Roman" w:eastAsia="Times New Roman" w:hAnsi="Times New Roman"/>
        </w:rPr>
      </w:pPr>
      <w:bookmarkStart w:colFirst="0" w:colLast="0" w:name="_heading=h.yc9xvvqicjoq" w:id="17"/>
      <w:bookmarkEnd w:id="17"/>
      <w:r w:rsidDel="00000000" w:rsidR="00000000" w:rsidRPr="00000000">
        <w:rPr>
          <w:rFonts w:ascii="Times New Roman" w:cs="Times New Roman" w:eastAsia="Times New Roman" w:hAnsi="Times New Roman"/>
          <w:rtl w:val="0"/>
        </w:rPr>
        <w:t xml:space="preserve">6 Second Focus Group</w:t>
      </w:r>
    </w:p>
    <w:p w:rsidR="00000000" w:rsidDel="00000000" w:rsidP="00000000" w:rsidRDefault="00000000" w:rsidRPr="00000000" w14:paraId="0000009F">
      <w:pPr>
        <w:pStyle w:val="Heading2"/>
        <w:ind w:firstLine="0"/>
        <w:rPr>
          <w:rFonts w:ascii="Times New Roman" w:cs="Times New Roman" w:eastAsia="Times New Roman" w:hAnsi="Times New Roman"/>
          <w:sz w:val="24"/>
          <w:szCs w:val="24"/>
        </w:rPr>
      </w:pPr>
      <w:bookmarkStart w:colFirst="0" w:colLast="0" w:name="_heading=h.9jun5wsjxsbm" w:id="18"/>
      <w:bookmarkEnd w:id="18"/>
      <w:r w:rsidDel="00000000" w:rsidR="00000000" w:rsidRPr="00000000">
        <w:rPr>
          <w:rFonts w:ascii="Times New Roman" w:cs="Times New Roman" w:eastAsia="Times New Roman" w:hAnsi="Times New Roman"/>
          <w:sz w:val="24"/>
          <w:szCs w:val="24"/>
          <w:rtl w:val="0"/>
        </w:rPr>
        <w:t xml:space="preserve">6.1 Refocus on Hybrid Manual-Automated Setup</w:t>
      </w:r>
    </w:p>
    <w:p w:rsidR="00000000" w:rsidDel="00000000" w:rsidP="00000000" w:rsidRDefault="00000000" w:rsidRPr="00000000" w14:paraId="000000A0">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second focus group, we were interested in </w:t>
      </w:r>
      <w:r w:rsidDel="00000000" w:rsidR="00000000" w:rsidRPr="00000000">
        <w:rPr>
          <w:rFonts w:ascii="Times New Roman" w:cs="Times New Roman" w:eastAsia="Times New Roman" w:hAnsi="Times New Roman"/>
          <w:i w:val="1"/>
          <w:sz w:val="24"/>
          <w:szCs w:val="24"/>
          <w:rtl w:val="0"/>
        </w:rPr>
        <w:t xml:space="preserve">how different stakeholders could promote socially acceptable, hybrid, usable, dynamic, and granular data permission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decisions.</w:t>
      </w:r>
      <w:r w:rsidDel="00000000" w:rsidR="00000000" w:rsidRPr="00000000">
        <w:rPr>
          <w:rFonts w:ascii="Times New Roman" w:cs="Times New Roman" w:eastAsia="Times New Roman" w:hAnsi="Times New Roman"/>
          <w:sz w:val="24"/>
          <w:szCs w:val="24"/>
          <w:rtl w:val="0"/>
        </w:rPr>
        <w:t xml:space="preserve"> In the first focus group, both the fully manual and fully automated setup groups considered the hybrid setup a better alternative. Hence, building on the insights from the first focus group, we adjusted the focus to a hybrid PPA setup and used it as a basis for discussion. </w:t>
      </w:r>
    </w:p>
    <w:p w:rsidR="00000000" w:rsidDel="00000000" w:rsidP="00000000" w:rsidRDefault="00000000" w:rsidRPr="00000000" w14:paraId="000000A1">
      <w:pPr>
        <w:ind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pStyle w:val="Heading3"/>
        <w:rPr>
          <w:rFonts w:ascii="Times New Roman" w:cs="Times New Roman" w:eastAsia="Times New Roman" w:hAnsi="Times New Roman"/>
          <w:b w:val="0"/>
          <w:sz w:val="24"/>
          <w:szCs w:val="24"/>
        </w:rPr>
      </w:pPr>
      <w:bookmarkStart w:colFirst="0" w:colLast="0" w:name="_heading=h.cjpc6pbbbb8n" w:id="19"/>
      <w:bookmarkEnd w:id="19"/>
      <w:r w:rsidDel="00000000" w:rsidR="00000000" w:rsidRPr="00000000">
        <w:rPr>
          <w:rFonts w:ascii="Times New Roman" w:cs="Times New Roman" w:eastAsia="Times New Roman" w:hAnsi="Times New Roman"/>
          <w:b w:val="0"/>
          <w:sz w:val="24"/>
          <w:szCs w:val="24"/>
          <w:rtl w:val="0"/>
        </w:rPr>
        <w:t xml:space="preserve">6.1.1 Results on Accuracy</w:t>
      </w:r>
    </w:p>
    <w:p w:rsidR="00000000" w:rsidDel="00000000" w:rsidP="00000000" w:rsidRDefault="00000000" w:rsidRPr="00000000" w14:paraId="000000A3">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largely agreed that users should be permitted to use fake data or profiles for their PPA; however, whether it was appropriate depended on the context (commercial platform vs. court). </w:t>
      </w:r>
      <w:r w:rsidDel="00000000" w:rsidR="00000000" w:rsidRPr="00000000">
        <w:rPr>
          <w:rFonts w:ascii="Times New Roman" w:cs="Times New Roman" w:eastAsia="Times New Roman" w:hAnsi="Times New Roman"/>
          <w:color w:val="0000ff"/>
          <w:sz w:val="24"/>
          <w:szCs w:val="24"/>
          <w:rtl w:val="0"/>
        </w:rPr>
        <w:t xml:space="preserve">P9</w:t>
      </w:r>
      <w:r w:rsidDel="00000000" w:rsidR="00000000" w:rsidRPr="00000000">
        <w:rPr>
          <w:rFonts w:ascii="Times New Roman" w:cs="Times New Roman" w:eastAsia="Times New Roman" w:hAnsi="Times New Roman"/>
          <w:sz w:val="24"/>
          <w:szCs w:val="24"/>
          <w:rtl w:val="0"/>
        </w:rPr>
        <w:t xml:space="preserve"> reasoned that if fake data were limited to using aliases, it should be allowed, drawing from a judgment by Germany’s Federal Court of Justice in 2022.</w:t>
      </w:r>
      <w:r w:rsidDel="00000000" w:rsidR="00000000" w:rsidRPr="00000000">
        <w:rPr>
          <w:rFonts w:ascii="Times New Roman" w:cs="Times New Roman" w:eastAsia="Times New Roman" w:hAnsi="Times New Roman"/>
          <w:sz w:val="24"/>
          <w:szCs w:val="24"/>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Yet, it was argued that verifying a user's identity should not be the responsibility of a platform. Instead, this role should fall to the state. </w:t>
      </w:r>
      <w:r w:rsidDel="00000000" w:rsidR="00000000" w:rsidRPr="00000000">
        <w:rPr>
          <w:rFonts w:ascii="Times New Roman" w:cs="Times New Roman" w:eastAsia="Times New Roman" w:hAnsi="Times New Roman"/>
          <w:color w:val="0000ff"/>
          <w:sz w:val="24"/>
          <w:szCs w:val="24"/>
          <w:rtl w:val="0"/>
        </w:rPr>
        <w:t xml:space="preserve">P2 </w:t>
      </w:r>
      <w:r w:rsidDel="00000000" w:rsidR="00000000" w:rsidRPr="00000000">
        <w:rPr>
          <w:rFonts w:ascii="Times New Roman" w:cs="Times New Roman" w:eastAsia="Times New Roman" w:hAnsi="Times New Roman"/>
          <w:sz w:val="24"/>
          <w:szCs w:val="24"/>
          <w:rtl w:val="0"/>
        </w:rPr>
        <w:t xml:space="preserve">argued that using fake profiles should be permitted unless the usage has negative consequences for others. </w:t>
      </w:r>
    </w:p>
    <w:p w:rsidR="00000000" w:rsidDel="00000000" w:rsidP="00000000" w:rsidRDefault="00000000" w:rsidRPr="00000000" w14:paraId="000000A4">
      <w:pPr>
        <w:shd w:fill="auto" w:val="clear"/>
        <w:spacing w:after="240" w:before="240" w:line="360" w:lineRule="auto"/>
        <w:ind w:left="720" w:firstLine="0"/>
        <w:jc w:val="left"/>
        <w:rPr>
          <w:rFonts w:ascii="Times New Roman" w:cs="Times New Roman" w:eastAsia="Times New Roman" w:hAnsi="Times New Roman"/>
          <w:i w:val="1"/>
          <w:color w:val="0000ff"/>
          <w:sz w:val="24"/>
          <w:szCs w:val="24"/>
        </w:rPr>
      </w:pPr>
      <w:r w:rsidDel="00000000" w:rsidR="00000000" w:rsidRPr="00000000">
        <w:rPr>
          <w:rFonts w:ascii="Times New Roman" w:cs="Times New Roman" w:eastAsia="Times New Roman" w:hAnsi="Times New Roman"/>
          <w:i w:val="1"/>
          <w:color w:val="0000ff"/>
          <w:sz w:val="24"/>
          <w:szCs w:val="24"/>
          <w:rtl w:val="0"/>
        </w:rPr>
        <w:t xml:space="preserve">“So it depends on the </w:t>
      </w:r>
      <w:r w:rsidDel="00000000" w:rsidR="00000000" w:rsidRPr="00000000">
        <w:rPr>
          <w:rFonts w:ascii="Times New Roman" w:cs="Times New Roman" w:eastAsia="Times New Roman" w:hAnsi="Times New Roman"/>
          <w:i w:val="1"/>
          <w:color w:val="0000ff"/>
          <w:sz w:val="24"/>
          <w:szCs w:val="24"/>
          <w:rtl w:val="0"/>
        </w:rPr>
        <w:t xml:space="preserve">consequences test</w:t>
      </w:r>
      <w:r w:rsidDel="00000000" w:rsidR="00000000" w:rsidRPr="00000000">
        <w:rPr>
          <w:rFonts w:ascii="Times New Roman" w:cs="Times New Roman" w:eastAsia="Times New Roman" w:hAnsi="Times New Roman"/>
          <w:i w:val="1"/>
          <w:color w:val="0000ff"/>
          <w:sz w:val="24"/>
          <w:szCs w:val="24"/>
          <w:rtl w:val="0"/>
        </w:rPr>
        <w:t xml:space="preserve">. So if I create a fake profile and it will only have consequences for decisions about my privacy, it will affect only me, why not? But if you know that the consequences will be also for other people or based on your fake profile, then not. If it </w:t>
      </w:r>
      <w:r w:rsidDel="00000000" w:rsidR="00000000" w:rsidRPr="00000000">
        <w:rPr>
          <w:rFonts w:ascii="Times New Roman" w:cs="Times New Roman" w:eastAsia="Times New Roman" w:hAnsi="Times New Roman"/>
          <w:i w:val="1"/>
          <w:color w:val="0000ff"/>
          <w:sz w:val="24"/>
          <w:szCs w:val="24"/>
          <w:rtl w:val="0"/>
        </w:rPr>
        <w:t xml:space="preserve">has like any</w:t>
      </w:r>
      <w:r w:rsidDel="00000000" w:rsidR="00000000" w:rsidRPr="00000000">
        <w:rPr>
          <w:rFonts w:ascii="Times New Roman" w:cs="Times New Roman" w:eastAsia="Times New Roman" w:hAnsi="Times New Roman"/>
          <w:i w:val="1"/>
          <w:color w:val="0000ff"/>
          <w:sz w:val="24"/>
          <w:szCs w:val="24"/>
          <w:rtl w:val="0"/>
        </w:rPr>
        <w:t xml:space="preserve"> externality, </w:t>
      </w:r>
      <w:r w:rsidDel="00000000" w:rsidR="00000000" w:rsidRPr="00000000">
        <w:rPr>
          <w:rFonts w:ascii="Times New Roman" w:cs="Times New Roman" w:eastAsia="Times New Roman" w:hAnsi="Times New Roman"/>
          <w:i w:val="1"/>
          <w:color w:val="0000ff"/>
          <w:sz w:val="24"/>
          <w:szCs w:val="24"/>
          <w:rtl w:val="0"/>
        </w:rPr>
        <w:t xml:space="preserve">so I</w:t>
      </w:r>
      <w:r w:rsidDel="00000000" w:rsidR="00000000" w:rsidRPr="00000000">
        <w:rPr>
          <w:rFonts w:ascii="Times New Roman" w:cs="Times New Roman" w:eastAsia="Times New Roman" w:hAnsi="Times New Roman"/>
          <w:i w:val="1"/>
          <w:color w:val="0000ff"/>
          <w:sz w:val="24"/>
          <w:szCs w:val="24"/>
          <w:rtl w:val="0"/>
        </w:rPr>
        <w:t xml:space="preserve"> would say you're not allowed to have it, to create a fake profile.”</w:t>
      </w:r>
    </w:p>
    <w:p w:rsidR="00000000" w:rsidDel="00000000" w:rsidP="00000000" w:rsidRDefault="00000000" w:rsidRPr="00000000" w14:paraId="000000A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 of personal information was considered permissible if it was necessary for PPAs to yield more accurate predictions (although doubts on this point were raised). However, to some participants, the use of such data was considered an invasive activity; thus, the individual should have the autonomy to decide, provided that they were instructed on how the use (or non-use) of personal information, such as personality traits, would affect the accuracy of PPAs. The need for granular user consent was highlighted in terms of the amount of information to share, contrasting the one-size-fits-all approach. To the participants, a human (e.g., users) should always check the accuracy of a PPA. However, they should also have the possibility to delegate the task to an external agent. Participants assigned legislators the responsibility to decide default settings for PPAs, which should align with the best interests of the public or a user. If not, participants nominated independent bodies to set the default settings, especially when it was too difficult for an individual to do so.</w:t>
      </w:r>
    </w:p>
    <w:p w:rsidR="00000000" w:rsidDel="00000000" w:rsidP="00000000" w:rsidRDefault="00000000" w:rsidRPr="00000000" w14:paraId="000000A6">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color w:val="0000ff"/>
          <w:sz w:val="24"/>
          <w:szCs w:val="24"/>
          <w:rtl w:val="0"/>
        </w:rPr>
        <w:t xml:space="preserve">P10</w:t>
      </w:r>
      <w:r w:rsidDel="00000000" w:rsidR="00000000" w:rsidRPr="00000000">
        <w:rPr>
          <w:rFonts w:ascii="Times New Roman" w:cs="Times New Roman" w:eastAsia="Times New Roman" w:hAnsi="Times New Roman"/>
          <w:sz w:val="24"/>
          <w:szCs w:val="24"/>
          <w:rtl w:val="0"/>
        </w:rPr>
        <w:t xml:space="preserve"> proposed applying the legal principle of proportionality to consider the use of different data sources and evaluate whether sharing some personal information would be justified for the PPAs to work better. </w:t>
      </w:r>
      <w:r w:rsidDel="00000000" w:rsidR="00000000" w:rsidRPr="00000000">
        <w:rPr>
          <w:rFonts w:ascii="Times New Roman" w:cs="Times New Roman" w:eastAsia="Times New Roman" w:hAnsi="Times New Roman"/>
          <w:color w:val="0000ff"/>
          <w:sz w:val="24"/>
          <w:szCs w:val="24"/>
          <w:rtl w:val="0"/>
        </w:rPr>
        <w:t xml:space="preserve">P7</w:t>
      </w:r>
      <w:r w:rsidDel="00000000" w:rsidR="00000000" w:rsidRPr="00000000">
        <w:rPr>
          <w:rFonts w:ascii="Times New Roman" w:cs="Times New Roman" w:eastAsia="Times New Roman" w:hAnsi="Times New Roman"/>
          <w:sz w:val="24"/>
          <w:szCs w:val="24"/>
          <w:rtl w:val="0"/>
        </w:rPr>
        <w:t xml:space="preserve"> challenged the use of personal data for PPA and believed that PPAs should be built upon a user’s expressed preferences and the publicly available data of companies. To this participant, such an approach would be based on a PPA design that pairs up openly available company data with user consent preferences. A PPA would be expected to automatically reject specific data processing activities listed in a company’s cookie banner by matching a user’s consent preferences stored in the PPA. The participant stressed that for the design to work, companies would need to set up APIs for PPAs and end users. </w:t>
      </w:r>
      <w:r w:rsidDel="00000000" w:rsidR="00000000" w:rsidRPr="00000000">
        <w:rPr>
          <w:rtl w:val="0"/>
        </w:rPr>
      </w:r>
    </w:p>
    <w:p w:rsidR="00000000" w:rsidDel="00000000" w:rsidP="00000000" w:rsidRDefault="00000000" w:rsidRPr="00000000" w14:paraId="000000A7">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A8">
      <w:pPr>
        <w:pStyle w:val="Heading3"/>
        <w:rPr>
          <w:rFonts w:ascii="Times New Roman" w:cs="Times New Roman" w:eastAsia="Times New Roman" w:hAnsi="Times New Roman"/>
          <w:b w:val="0"/>
          <w:sz w:val="24"/>
          <w:szCs w:val="24"/>
        </w:rPr>
      </w:pPr>
      <w:bookmarkStart w:colFirst="0" w:colLast="0" w:name="_heading=h.x7adm7btskfq" w:id="20"/>
      <w:bookmarkEnd w:id="20"/>
      <w:r w:rsidDel="00000000" w:rsidR="00000000" w:rsidRPr="00000000">
        <w:rPr>
          <w:rFonts w:ascii="Times New Roman" w:cs="Times New Roman" w:eastAsia="Times New Roman" w:hAnsi="Times New Roman"/>
          <w:b w:val="0"/>
          <w:sz w:val="24"/>
          <w:szCs w:val="24"/>
          <w:rtl w:val="0"/>
        </w:rPr>
        <w:t xml:space="preserve">6.1.2 Results on Agency</w:t>
      </w:r>
    </w:p>
    <w:p w:rsidR="00000000" w:rsidDel="00000000" w:rsidP="00000000" w:rsidRDefault="00000000" w:rsidRPr="00000000" w14:paraId="000000A9">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discussion on agency explored two main themes: externalization of privacy decisions and autonomy versus manipulation. Discussions circled around who should oversee the externalization of privacy decisions to PPAs, with a proposal of PPA accreditation established either by governmental agencies or independent authorities. </w:t>
      </w:r>
    </w:p>
    <w:p w:rsidR="00000000" w:rsidDel="00000000" w:rsidP="00000000" w:rsidRDefault="00000000" w:rsidRPr="00000000" w14:paraId="000000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Whether PPAs should be obligated to assist and not replace user decision-making was said to be context-dependent. An example was given between users likely to welcome automated cookie consent management, yet preferring their own control over the degree of sharing personal health data. </w:t>
      </w:r>
      <w:r w:rsidDel="00000000" w:rsidR="00000000" w:rsidRPr="00000000">
        <w:rPr>
          <w:rFonts w:ascii="Times New Roman" w:cs="Times New Roman" w:eastAsia="Times New Roman" w:hAnsi="Times New Roman"/>
          <w:color w:val="0000ff"/>
          <w:sz w:val="24"/>
          <w:szCs w:val="24"/>
          <w:rtl w:val="0"/>
        </w:rPr>
        <w:t xml:space="preserve">P3 </w:t>
      </w:r>
      <w:r w:rsidDel="00000000" w:rsidR="00000000" w:rsidRPr="00000000">
        <w:rPr>
          <w:rFonts w:ascii="Times New Roman" w:cs="Times New Roman" w:eastAsia="Times New Roman" w:hAnsi="Times New Roman"/>
          <w:sz w:val="24"/>
          <w:szCs w:val="24"/>
          <w:rtl w:val="0"/>
        </w:rPr>
        <w:t xml:space="preserve">suggested that PPAs should assist only when a user opts to deviate their decision from a default option (e.g., established by law). As they explained, </w:t>
      </w:r>
    </w:p>
    <w:p w:rsidR="00000000" w:rsidDel="00000000" w:rsidP="00000000" w:rsidRDefault="00000000" w:rsidRPr="00000000" w14:paraId="000000AB">
      <w:pPr>
        <w:shd w:fill="auto" w:val="clear"/>
        <w:spacing w:after="240" w:before="240" w:line="360" w:lineRule="auto"/>
        <w:ind w:left="720" w:firstLine="0"/>
        <w:jc w:val="left"/>
        <w:rPr>
          <w:rFonts w:ascii="Times New Roman" w:cs="Times New Roman" w:eastAsia="Times New Roman" w:hAnsi="Times New Roman"/>
          <w:i w:val="1"/>
          <w:color w:val="0000ff"/>
          <w:sz w:val="26"/>
          <w:szCs w:val="26"/>
        </w:rPr>
      </w:pPr>
      <w:r w:rsidDel="00000000" w:rsidR="00000000" w:rsidRPr="00000000">
        <w:rPr>
          <w:rFonts w:ascii="Times New Roman" w:cs="Times New Roman" w:eastAsia="Times New Roman" w:hAnsi="Times New Roman"/>
          <w:i w:val="1"/>
          <w:color w:val="0000ff"/>
          <w:sz w:val="24"/>
          <w:szCs w:val="24"/>
          <w:rtl w:val="0"/>
        </w:rPr>
        <w:t xml:space="preserve">“[W]hat happens if an individual didn't decide what they want on a particular option. And.. </w:t>
      </w:r>
      <w:r w:rsidDel="00000000" w:rsidR="00000000" w:rsidRPr="00000000">
        <w:rPr>
          <w:rFonts w:ascii="Times New Roman" w:cs="Times New Roman" w:eastAsia="Times New Roman" w:hAnsi="Times New Roman"/>
          <w:i w:val="1"/>
          <w:color w:val="0000ff"/>
          <w:sz w:val="24"/>
          <w:szCs w:val="24"/>
          <w:rtl w:val="0"/>
        </w:rPr>
        <w:t xml:space="preserve">what</w:t>
      </w:r>
      <w:r w:rsidDel="00000000" w:rsidR="00000000" w:rsidRPr="00000000">
        <w:rPr>
          <w:rFonts w:ascii="Times New Roman" w:cs="Times New Roman" w:eastAsia="Times New Roman" w:hAnsi="Times New Roman"/>
          <w:i w:val="1"/>
          <w:color w:val="0000ff"/>
          <w:sz w:val="24"/>
          <w:szCs w:val="24"/>
          <w:rtl w:val="0"/>
        </w:rPr>
        <w:t xml:space="preserve"> can the agents then decide for them? And I would say the agent doesn't decide anything. The agent is programmed based on what a certain jurisdiction has said should be the default option, which could be, ‘yes, we share your info’ or ‘no we don't share your info’ based on a process of having discussed this, but that should be a default option. And then if the individual does decide to differ from that, that's where the agent comes in, I would say.”</w:t>
      </w:r>
      <w:r w:rsidDel="00000000" w:rsidR="00000000" w:rsidRPr="00000000">
        <w:rPr>
          <w:rtl w:val="0"/>
        </w:rPr>
      </w:r>
    </w:p>
    <w:p w:rsidR="00000000" w:rsidDel="00000000" w:rsidP="00000000" w:rsidRDefault="00000000" w:rsidRPr="00000000" w14:paraId="000000AC">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ff"/>
          <w:sz w:val="24"/>
          <w:szCs w:val="24"/>
          <w:rtl w:val="0"/>
        </w:rPr>
        <w:t xml:space="preserve">P8</w:t>
      </w:r>
      <w:r w:rsidDel="00000000" w:rsidR="00000000" w:rsidRPr="00000000">
        <w:rPr>
          <w:rFonts w:ascii="Times New Roman" w:cs="Times New Roman" w:eastAsia="Times New Roman" w:hAnsi="Times New Roman"/>
          <w:sz w:val="24"/>
          <w:szCs w:val="24"/>
          <w:rtl w:val="0"/>
        </w:rPr>
        <w:t xml:space="preserve"> emphasized the need for independent, trustworthy authorities to set clear boundaries of permissible PPA actions to ensure privacy risks would be within bounds. Under such conditions, privacy management could be delegated to a PPA. In addition, participants raised the importance of having periodic audits of PPA decisions and for users to express satisfaction with PPA settings. Users should be regularly provided with an overview of PPA decisions and the data (re)used, hinting at transparency needs. Participants mentioned that individual privacy control could be partially at odds with the social dimension of privacy, as one person’s privacy decisions could also influence other individuals or businesses. </w:t>
      </w:r>
    </w:p>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discussing using nudges for PPAs to nudge users toward decisions in their best interest, participants focused on what would constitute a good privacy decision and for whom: the user, corporations, the nation-state, or the EU. Participants explained that prioritizing a user’s best interests by limiting data sharing might jeopardize business interests and reduce EU firms' competitiveness, highlighting the need to balance various stakeholders' interests. Some participants argued that nudging should always favor users, helping people act in accordance with their beliefs and shape their decisions according to their expectations of better selves. </w:t>
      </w:r>
      <w:r w:rsidDel="00000000" w:rsidR="00000000" w:rsidRPr="00000000">
        <w:rPr>
          <w:rFonts w:ascii="Times New Roman" w:cs="Times New Roman" w:eastAsia="Times New Roman" w:hAnsi="Times New Roman"/>
          <w:color w:val="0000ff"/>
          <w:sz w:val="24"/>
          <w:szCs w:val="24"/>
          <w:rtl w:val="0"/>
        </w:rPr>
        <w:t xml:space="preserve">P10</w:t>
      </w:r>
      <w:r w:rsidDel="00000000" w:rsidR="00000000" w:rsidRPr="00000000">
        <w:rPr>
          <w:rFonts w:ascii="Times New Roman" w:cs="Times New Roman" w:eastAsia="Times New Roman" w:hAnsi="Times New Roman"/>
          <w:sz w:val="24"/>
          <w:szCs w:val="24"/>
          <w:rtl w:val="0"/>
        </w:rPr>
        <w:t xml:space="preserve"> noted that PPAs (and nudging), despite the challenges, could still benefit users more than the current status quo, in which navigating the overwhelming complexity of information and making decisions could be constrained by “ego depletion,” as the capacity for conscious, rational decision-making is finite.</w:t>
      </w:r>
    </w:p>
    <w:p w:rsidR="00000000" w:rsidDel="00000000" w:rsidP="00000000" w:rsidRDefault="00000000" w:rsidRPr="00000000" w14:paraId="000000AE">
      <w:pPr>
        <w:pStyle w:val="Heading3"/>
        <w:spacing w:before="240" w:lineRule="auto"/>
        <w:rPr>
          <w:rFonts w:ascii="Times New Roman" w:cs="Times New Roman" w:eastAsia="Times New Roman" w:hAnsi="Times New Roman"/>
          <w:b w:val="0"/>
          <w:sz w:val="24"/>
          <w:szCs w:val="24"/>
        </w:rPr>
      </w:pPr>
      <w:bookmarkStart w:colFirst="0" w:colLast="0" w:name="_heading=h.f1t5hgm27f6p" w:id="21"/>
      <w:bookmarkEnd w:id="21"/>
      <w:r w:rsidDel="00000000" w:rsidR="00000000" w:rsidRPr="00000000">
        <w:rPr>
          <w:rFonts w:ascii="Times New Roman" w:cs="Times New Roman" w:eastAsia="Times New Roman" w:hAnsi="Times New Roman"/>
          <w:b w:val="0"/>
          <w:sz w:val="24"/>
          <w:szCs w:val="24"/>
          <w:rtl w:val="0"/>
        </w:rPr>
        <w:t xml:space="preserve">6.1.3 Results on Accountability</w:t>
      </w:r>
      <w:r w:rsidDel="00000000" w:rsidR="00000000" w:rsidRPr="00000000">
        <w:rPr>
          <w:rtl w:val="0"/>
        </w:rPr>
      </w:r>
    </w:p>
    <w:p w:rsidR="00000000" w:rsidDel="00000000" w:rsidP="00000000" w:rsidRDefault="00000000" w:rsidRPr="00000000" w14:paraId="000000AF">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discussing accountability, participants emphasized transparency and the need for PPAs to provide meaningful information about their decisions. Such information was also considered important for legal purposes, like commercial court proceedings. Participants highlighted the concept of explainability, which was connected to fostering user trust. Measures to hold PPAs accountable were discussed, including private enforcement through class actions and public enforcement through breach notifications.</w:t>
      </w:r>
    </w:p>
    <w:p w:rsidR="00000000" w:rsidDel="00000000" w:rsidP="00000000" w:rsidRDefault="00000000" w:rsidRPr="00000000" w14:paraId="000000B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discussing hypothetical scenarios where a wrong decision might be made by a PPA and accountability is required, participants highlighted the importance of oversight by regulatory authorities, such as Data Protection Authorities (DPAs). DPAs, argued by participants, should possess the authority to override (user) profiles (for PPA actions) at any time, have access to user decisions stored in PPAs, and be empowered to communicate with PPAs to decide the parties of liability, whether it be users or PPAs. When there might be an absence of strict liability, accountability for wrong decisions was considered by participants to be contingent on the nature of the error. One participant asserted that users should have limited accountability. Instead, PPAs should take responsibility for their wrong decisions, depending on the extent of their miscommunication with user preferences. Participants also emphasized the need to specify the applicable laws to govern PPA-related accountability, especially within the context of the evolving digital framework. In terms of fostering trust and trustworthiness in PPAs, participants argued that human involvement in automated decision-making processes could enhance their trustworthiness. It was also suggested that errors made by humans were generally viewed with more forgiveness compared to those made by algorithms.</w:t>
      </w:r>
    </w:p>
    <w:p w:rsidR="00000000" w:rsidDel="00000000" w:rsidP="00000000" w:rsidRDefault="00000000" w:rsidRPr="00000000" w14:paraId="000000B1">
      <w:pPr>
        <w:pStyle w:val="Heading2"/>
        <w:ind w:firstLine="0"/>
        <w:rPr>
          <w:rFonts w:ascii="Times New Roman" w:cs="Times New Roman" w:eastAsia="Times New Roman" w:hAnsi="Times New Roman"/>
          <w:sz w:val="24"/>
          <w:szCs w:val="24"/>
        </w:rPr>
      </w:pPr>
      <w:bookmarkStart w:colFirst="0" w:colLast="0" w:name="_heading=h.9aaepyblbpw6" w:id="22"/>
      <w:bookmarkEnd w:id="22"/>
      <w:r w:rsidDel="00000000" w:rsidR="00000000" w:rsidRPr="00000000">
        <w:rPr>
          <w:rFonts w:ascii="Times New Roman" w:cs="Times New Roman" w:eastAsia="Times New Roman" w:hAnsi="Times New Roman"/>
          <w:sz w:val="24"/>
          <w:szCs w:val="24"/>
          <w:rtl w:val="0"/>
        </w:rPr>
        <w:t xml:space="preserve">6.2 Indicators to Evaluate that PPAs Become a Success</w:t>
      </w:r>
    </w:p>
    <w:p w:rsidR="00000000" w:rsidDel="00000000" w:rsidP="00000000" w:rsidRDefault="00000000" w:rsidRPr="00000000" w14:paraId="000000B2">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activity of the second focus group focused on identifying indicators for achieving socially acceptable, hybrid, usable, dynamic, and granular data permission decisions. During the discussion, participants identified several must-have features for PPAs as success indicators: open data sources for PPA decisions, the ability for users to opt out, and the capability for PPAs to work everywhere.</w:t>
      </w:r>
    </w:p>
    <w:p w:rsidR="00000000" w:rsidDel="00000000" w:rsidP="00000000" w:rsidRDefault="00000000" w:rsidRPr="00000000" w14:paraId="000000B3">
      <w:pPr>
        <w:ind w:firstLine="0"/>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B4">
      <w:pPr>
        <w:pStyle w:val="Heading3"/>
        <w:rPr>
          <w:rFonts w:ascii="Times New Roman" w:cs="Times New Roman" w:eastAsia="Times New Roman" w:hAnsi="Times New Roman"/>
          <w:b w:val="0"/>
          <w:sz w:val="24"/>
          <w:szCs w:val="24"/>
        </w:rPr>
      </w:pPr>
      <w:bookmarkStart w:colFirst="0" w:colLast="0" w:name="_heading=h.kmremvb56qyt" w:id="23"/>
      <w:bookmarkEnd w:id="23"/>
      <w:r w:rsidDel="00000000" w:rsidR="00000000" w:rsidRPr="00000000">
        <w:rPr>
          <w:rFonts w:ascii="Times New Roman" w:cs="Times New Roman" w:eastAsia="Times New Roman" w:hAnsi="Times New Roman"/>
          <w:b w:val="0"/>
          <w:sz w:val="24"/>
          <w:szCs w:val="24"/>
          <w:rtl w:val="0"/>
        </w:rPr>
        <w:t xml:space="preserve">6.2.1. Results on indicators</w:t>
      </w:r>
    </w:p>
    <w:p w:rsidR="00000000" w:rsidDel="00000000" w:rsidP="00000000" w:rsidRDefault="00000000" w:rsidRPr="00000000" w14:paraId="000000B5">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open data sources, some suggested that PPAs should make consent decisions on behalf of users when encountering online consent forms, with openness and availability about the reasons and the data sources used for these decisions. Such transparency was also believed to help prevent manipulation. Others argued that if PPAs were developed by private companies, they might refuse to open the data sources, citing protection of intellectual property or maintenance of a competitive advantage. To address this, some participants proposed that PPAs be publicly funded or developed by the public sector, which would ensure open data sources. Building on this idea, </w:t>
      </w:r>
      <w:r w:rsidDel="00000000" w:rsidR="00000000" w:rsidRPr="00000000">
        <w:rPr>
          <w:rFonts w:ascii="Times New Roman" w:cs="Times New Roman" w:eastAsia="Times New Roman" w:hAnsi="Times New Roman"/>
          <w:color w:val="0000ff"/>
          <w:sz w:val="24"/>
          <w:szCs w:val="24"/>
          <w:rtl w:val="0"/>
        </w:rPr>
        <w:t xml:space="preserve">P3</w:t>
      </w:r>
      <w:r w:rsidDel="00000000" w:rsidR="00000000" w:rsidRPr="00000000">
        <w:rPr>
          <w:rFonts w:ascii="Times New Roman" w:cs="Times New Roman" w:eastAsia="Times New Roman" w:hAnsi="Times New Roman"/>
          <w:sz w:val="24"/>
          <w:szCs w:val="24"/>
          <w:rtl w:val="0"/>
        </w:rPr>
        <w:t xml:space="preserve"> introduced the concept of “techcare,” where governments would provide free, high-quality PPAs, similar to healthcare. Participants also emphasized the importance of allowing users to opt out of using PPAs, either entirely or for specific data collection, and the right to opt out should be enforced through legal frameworks. Another key feature of successful PPAs from one participant was their ability to work everywhere, meaning that PPAs should function across all platforms, both desktop and mobile browsers. This would enable widespread usability and user appeal.</w:t>
      </w:r>
    </w:p>
    <w:p w:rsidR="00000000" w:rsidDel="00000000" w:rsidP="00000000" w:rsidRDefault="00000000" w:rsidRPr="00000000" w14:paraId="000000B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participants saw the establishment of norms around PPAs as a key indicator of success. </w:t>
      </w:r>
      <w:r w:rsidDel="00000000" w:rsidR="00000000" w:rsidRPr="00000000">
        <w:rPr>
          <w:rFonts w:ascii="Times New Roman" w:cs="Times New Roman" w:eastAsia="Times New Roman" w:hAnsi="Times New Roman"/>
          <w:color w:val="0000ff"/>
          <w:sz w:val="24"/>
          <w:szCs w:val="24"/>
          <w:rtl w:val="0"/>
        </w:rPr>
        <w:t xml:space="preserve">P11</w:t>
      </w:r>
      <w:r w:rsidDel="00000000" w:rsidR="00000000" w:rsidRPr="00000000">
        <w:rPr>
          <w:rFonts w:ascii="Times New Roman" w:cs="Times New Roman" w:eastAsia="Times New Roman" w:hAnsi="Times New Roman"/>
          <w:sz w:val="24"/>
          <w:szCs w:val="24"/>
          <w:rtl w:val="0"/>
        </w:rPr>
        <w:t xml:space="preserve"> gave an example of a norm in which PPAs would be widely used and not using one would be considered unusual. Another norm change would be the frequent mentions of PPAs in political discussions and their inclusion in policy documents or agendas of policymakers and legislators. It would indicate PPA’s growing importance or when policymakers and legislators would support PPAs by ensuring they work across all services, websites, and apps through legislation, such as the creation of a requirement on “</w:t>
      </w:r>
      <w:r w:rsidDel="00000000" w:rsidR="00000000" w:rsidRPr="00000000">
        <w:rPr>
          <w:rFonts w:ascii="Times New Roman" w:cs="Times New Roman" w:eastAsia="Times New Roman" w:hAnsi="Times New Roman"/>
          <w:i w:val="1"/>
          <w:sz w:val="24"/>
          <w:szCs w:val="24"/>
          <w:rtl w:val="0"/>
        </w:rPr>
        <w:t xml:space="preserve">API for privacy assistant, to exchange consent information to bypass all the consent notice and cookie notice</w:t>
      </w:r>
      <w:r w:rsidDel="00000000" w:rsidR="00000000" w:rsidRPr="00000000">
        <w:rPr>
          <w:rFonts w:ascii="Times New Roman" w:cs="Times New Roman" w:eastAsia="Times New Roman" w:hAnsi="Times New Roman"/>
          <w:sz w:val="24"/>
          <w:szCs w:val="24"/>
          <w:rtl w:val="0"/>
        </w:rPr>
        <w:t xml:space="preserve">” (P7) in the upcoming ePrivacy Regulation. Another success indicator would be the increased adoption of PPAs by web browsers to manage cookie consent decisions, either as built-in features or extensions, ensuring interoperability across all websites.</w:t>
      </w:r>
    </w:p>
    <w:p w:rsidR="00000000" w:rsidDel="00000000" w:rsidP="00000000" w:rsidRDefault="00000000" w:rsidRPr="00000000" w14:paraId="000000B7">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Raising awareness and educating younger generations about privacy and PPAs were also considered success indicators by participants. Such acts reflected privacy becoming a widely recognized value and being respected. A marker for success suggested by participants was EU-wide education programs teaching elementary school students how to use PPAs and tutorials and educational content in PPAs to help general users better understand privacy decisions and implications. Another marker was the rising number of tech-related public sector job applications (including independent data protection regulators), which would reflect a shift where the public sector gains more technological expertise and attracts more talent to support privacy. A shift in business models, away from profiting by selling user data, would be a different marker of success. This could be measured by a reduction in third-party vendors integrated into the data collection of consumer-facing companies. In addition, a marker could be an alternative reward-based business model that rewards businesses that value user privacy and would replace the current model. </w:t>
      </w:r>
    </w:p>
    <w:p w:rsidR="00000000" w:rsidDel="00000000" w:rsidP="00000000" w:rsidRDefault="00000000" w:rsidRPr="00000000" w14:paraId="000000B8">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PPAs to operate effectively, unlocking personal data from individual service providers and enabling data mobility across platforms was essential for some participants. Currently, EU laws like the GDPR and Data Act mandate data portability, whether from an individual rights perspective (GDPR) or ensuring fair access from a company’s perspective (the Data Act). </w:t>
      </w:r>
      <w:r w:rsidDel="00000000" w:rsidR="00000000" w:rsidRPr="00000000">
        <w:rPr>
          <w:rFonts w:ascii="Times New Roman" w:cs="Times New Roman" w:eastAsia="Times New Roman" w:hAnsi="Times New Roman"/>
          <w:color w:val="0000ff"/>
          <w:sz w:val="24"/>
          <w:szCs w:val="24"/>
          <w:rtl w:val="0"/>
        </w:rPr>
        <w:t xml:space="preserve">P7</w:t>
      </w:r>
      <w:r w:rsidDel="00000000" w:rsidR="00000000" w:rsidRPr="00000000">
        <w:rPr>
          <w:rFonts w:ascii="Times New Roman" w:cs="Times New Roman" w:eastAsia="Times New Roman" w:hAnsi="Times New Roman"/>
          <w:sz w:val="24"/>
          <w:szCs w:val="24"/>
          <w:rtl w:val="0"/>
        </w:rPr>
        <w:t xml:space="preserve"> noted that under the GDPR, data portability relies on individual incentives, which limits the scale if few have the incentive. In addition, interoperability across platforms remains limited, often confined to partnerships between specific companies, excluding user involvement. For PPAs to function, the potential of data portability needs to be unlocked, and companies need to comply with data portability requirements.</w:t>
      </w:r>
    </w:p>
    <w:p w:rsidR="00000000" w:rsidDel="00000000" w:rsidP="00000000" w:rsidRDefault="00000000" w:rsidRPr="00000000" w14:paraId="000000B9">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recommended a multi-stakeholder, participatory approach for designing successful PPAs, involving policymakers (e.g., the European Council and Parliament), enforcement agencies (like Data Protection Authorities), the tech industry, and users. Importantly, participants emphasized involving victims of privacy breaches to ensure lessons are learned from their experiences. This inclusion would help address and prevent future privacy violations. As P3 explained, </w:t>
      </w:r>
      <w:r w:rsidDel="00000000" w:rsidR="00000000" w:rsidRPr="00000000">
        <w:rPr>
          <w:rFonts w:ascii="Times New Roman" w:cs="Times New Roman" w:eastAsia="Times New Roman" w:hAnsi="Times New Roman"/>
          <w:i w:val="1"/>
          <w:color w:val="0000ff"/>
          <w:sz w:val="24"/>
          <w:szCs w:val="24"/>
          <w:rtl w:val="0"/>
        </w:rPr>
        <w:t xml:space="preserve">“And I wonder if we can also have somebody at the table who could be considered a kind of victim of not having your data privacy protected…So someone that suffered harm because of certain privacy laws not being in place or don't be respected, maybe someone who has suffered from your data be leaked, maybe accidentally or maybe on purpose, maybe so...that could be interesting.”</w:t>
      </w:r>
      <w:r w:rsidDel="00000000" w:rsidR="00000000" w:rsidRPr="00000000">
        <w:rPr>
          <w:rtl w:val="0"/>
        </w:rPr>
      </w:r>
    </w:p>
    <w:p w:rsidR="00000000" w:rsidDel="00000000" w:rsidP="00000000" w:rsidRDefault="00000000" w:rsidRPr="00000000" w14:paraId="000000B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involvement of cognitive and behavioral psychologists was also recommended to design PPAs that would better cater to people's cognitive and behavioral patterns, as well as to improve the design based on user interactions with prototypes. To build momentum, investigative journalists and activists were considered important for raising public awareness about the importance of privacy and the need for PPAs. P11 elaborated on the importance of including investigative journalists and activists: </w:t>
      </w:r>
    </w:p>
    <w:p w:rsidR="00000000" w:rsidDel="00000000" w:rsidP="00000000" w:rsidRDefault="00000000" w:rsidRPr="00000000" w14:paraId="000000BB">
      <w:pPr>
        <w:shd w:fill="auto" w:val="clear"/>
        <w:spacing w:after="240" w:before="240" w:line="360" w:lineRule="auto"/>
        <w:ind w:left="72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color w:val="0000ff"/>
          <w:sz w:val="24"/>
          <w:szCs w:val="24"/>
          <w:rtl w:val="0"/>
        </w:rPr>
        <w:t xml:space="preserve">“I think what you need is kind of a mix or maybe both investigative journalists who can kind of expose what is going on to create urgency, to show the urgency, show the importance of it. Maybe some sort of activist…like a Max Schrems type of guy or a Ralph Nader type of person. Right? He [Ralph Nader] was responsible for the seat belt [legislation in the U.S.]… If you look at him, he's not the type of person where you think that's the person I want to follow. But he was an activist in his own way, and he had a lot of followers believing in that good, showing that companies were doing bad things. That's why I'm saying like investigative journalists with activists that can really push the needle. And if that is backed with a good solid plan, based on basically the ideas that we have here, I think [we] could really push things forward.”</w:t>
      </w:r>
      <w:r w:rsidDel="00000000" w:rsidR="00000000" w:rsidRPr="00000000">
        <w:rPr>
          <w:rtl w:val="0"/>
        </w:rPr>
      </w:r>
    </w:p>
    <w:p w:rsidR="00000000" w:rsidDel="00000000" w:rsidP="00000000" w:rsidRDefault="00000000" w:rsidRPr="00000000" w14:paraId="000000BC">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PPAs become available, one participant highlighted that consumer protection associations should play a role, using legal actions like lawsuits to protect individual and public interests.</w:t>
      </w:r>
    </w:p>
    <w:p w:rsidR="00000000" w:rsidDel="00000000" w:rsidP="00000000" w:rsidRDefault="00000000" w:rsidRPr="00000000" w14:paraId="000000BD">
      <w:pPr>
        <w:pStyle w:val="Heading1"/>
        <w:rPr>
          <w:rFonts w:ascii="Times New Roman" w:cs="Times New Roman" w:eastAsia="Times New Roman" w:hAnsi="Times New Roman"/>
        </w:rPr>
      </w:pPr>
      <w:bookmarkStart w:colFirst="0" w:colLast="0" w:name="_heading=h.nm37spnxpqgq" w:id="24"/>
      <w:bookmarkEnd w:id="24"/>
      <w:r w:rsidDel="00000000" w:rsidR="00000000" w:rsidRPr="00000000">
        <w:rPr>
          <w:rFonts w:ascii="Times New Roman" w:cs="Times New Roman" w:eastAsia="Times New Roman" w:hAnsi="Times New Roman"/>
          <w:rtl w:val="0"/>
        </w:rPr>
        <w:t xml:space="preserve">7 Discussion &amp; Conclusion</w:t>
      </w:r>
    </w:p>
    <w:p w:rsidR="00000000" w:rsidDel="00000000" w:rsidP="00000000" w:rsidRDefault="00000000" w:rsidRPr="00000000" w14:paraId="000000BE">
      <w:pPr>
        <w:ind w:firstLine="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Our focus-group results both reinforce and extend earlier findings on user expectations for PPAs. Consistent with prior work (Colnago et al., 2020; Stöver et al., 2023; Marky et al., 2024), experts emphasized the need for meaningful user control and transparency, and voiced concerns about fully automated assistants. The expert went further to outline concrete technical architectures for PPAs, calling for broad stakeholder involvement in their design and oversight, and mapping the legal constraints within which PPAs must operate alongside possible legal changes needed to support PPA deployment.</w:t>
      </w:r>
    </w:p>
    <w:p w:rsidR="00000000" w:rsidDel="00000000" w:rsidP="00000000" w:rsidRDefault="00000000" w:rsidRPr="00000000" w14:paraId="000000B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ff"/>
          <w:sz w:val="24"/>
          <w:szCs w:val="24"/>
          <w:rtl w:val="0"/>
        </w:rPr>
        <w:t xml:space="preserve">In the next sub-sections,</w:t>
      </w:r>
      <w:r w:rsidDel="00000000" w:rsidR="00000000" w:rsidRPr="00000000">
        <w:rPr>
          <w:rFonts w:ascii="Times New Roman" w:cs="Times New Roman" w:eastAsia="Times New Roman" w:hAnsi="Times New Roman"/>
          <w:sz w:val="24"/>
          <w:szCs w:val="24"/>
          <w:rtl w:val="0"/>
        </w:rPr>
        <w:t xml:space="preserve"> we highlight three key takeaways from the focus groups as priorities for the academic, regulatory, and business communities for the future of personalized privacy assistants. Before delving into these points, it is important to note that participants identified transparency as an overarching theme across the three dimensions and as the thread that binds these takeaways, since it is a linchpin of effective control, oversight, and accountability. Thus, the lack of transparency or the absence of knowledge (for PPA users, oversight or enforcement bodies, etc) regarding the decision-making processes of PPAs raises concerns. Requiring PPA providers to make the (overview of) reasons and data used in the PPA design openly available may mitigate such concerns, even though a balance with trade secrets and other business confidential information must always be carefully struck (See for example, </w:t>
      </w:r>
      <w:r w:rsidDel="00000000" w:rsidR="00000000" w:rsidRPr="00000000">
        <w:rPr>
          <w:rFonts w:ascii="Times New Roman" w:cs="Times New Roman" w:eastAsia="Times New Roman" w:hAnsi="Times New Roman"/>
          <w:color w:val="000000"/>
          <w:sz w:val="24"/>
          <w:szCs w:val="24"/>
          <w:rtl w:val="0"/>
        </w:rPr>
        <w:t xml:space="preserve">Aplin et al., 2023</w:t>
      </w:r>
      <w:r w:rsidDel="00000000" w:rsidR="00000000" w:rsidRPr="00000000">
        <w:rPr>
          <w:rFonts w:ascii="Times New Roman" w:cs="Times New Roman" w:eastAsia="Times New Roman" w:hAnsi="Times New Roman"/>
          <w:sz w:val="24"/>
          <w:szCs w:val="24"/>
          <w:rtl w:val="0"/>
        </w:rPr>
        <w:t xml:space="preserve">). The digitalization and the personalization offered by PPAs provide new grounds for developing and testing customized transparency disclosures, even through innovative, interactive means that may ensure higher user engagement </w:t>
      </w:r>
      <w:r w:rsidDel="00000000" w:rsidR="00000000" w:rsidRPr="00000000">
        <w:rPr>
          <w:rFonts w:ascii="Times New Roman" w:cs="Times New Roman" w:eastAsia="Times New Roman" w:hAnsi="Times New Roman"/>
          <w:color w:val="000000"/>
          <w:sz w:val="24"/>
          <w:szCs w:val="24"/>
          <w:rtl w:val="0"/>
        </w:rPr>
        <w:t xml:space="preserve">(Doan et al., 2024)</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0">
      <w:pPr>
        <w:ind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1">
      <w:pPr>
        <w:pStyle w:val="Heading3"/>
        <w:rPr>
          <w:rFonts w:ascii="Times New Roman" w:cs="Times New Roman" w:eastAsia="Times New Roman" w:hAnsi="Times New Roman"/>
          <w:i w:val="1"/>
          <w:sz w:val="24"/>
          <w:szCs w:val="24"/>
        </w:rPr>
      </w:pPr>
      <w:bookmarkStart w:colFirst="0" w:colLast="0" w:name="_heading=h.onr7zwvz65qo" w:id="25"/>
      <w:bookmarkEnd w:id="25"/>
      <w:r w:rsidDel="00000000" w:rsidR="00000000" w:rsidRPr="00000000">
        <w:rPr>
          <w:rFonts w:ascii="Times New Roman" w:cs="Times New Roman" w:eastAsia="Times New Roman" w:hAnsi="Times New Roman"/>
          <w:i w:val="1"/>
          <w:sz w:val="24"/>
          <w:szCs w:val="24"/>
          <w:rtl w:val="0"/>
        </w:rPr>
        <w:t xml:space="preserve">7.1 “PPAs should assist, not replace”: The Protection of User Agency</w:t>
      </w:r>
    </w:p>
    <w:p w:rsidR="00000000" w:rsidDel="00000000" w:rsidP="00000000" w:rsidRDefault="00000000" w:rsidRPr="00000000" w14:paraId="000000C2">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Participants </w:t>
      </w:r>
      <w:r w:rsidDel="00000000" w:rsidR="00000000" w:rsidRPr="00000000">
        <w:rPr>
          <w:rFonts w:ascii="Times New Roman" w:cs="Times New Roman" w:eastAsia="Times New Roman" w:hAnsi="Times New Roman"/>
          <w:i w:val="1"/>
          <w:sz w:val="24"/>
          <w:szCs w:val="24"/>
          <w:rtl w:val="0"/>
        </w:rPr>
        <w:t xml:space="preserve">consistently </w:t>
      </w:r>
      <w:r w:rsidDel="00000000" w:rsidR="00000000" w:rsidRPr="00000000">
        <w:rPr>
          <w:rFonts w:ascii="Times New Roman" w:cs="Times New Roman" w:eastAsia="Times New Roman" w:hAnsi="Times New Roman"/>
          <w:sz w:val="24"/>
          <w:szCs w:val="24"/>
          <w:rtl w:val="0"/>
        </w:rPr>
        <w:t xml:space="preserve">raised their fear of insufficient human involvement in PPA design and optimization as well as in user control over the privacy decision-making of the PPA. To ensure the accuracy of PPAs, a human-in-the-loop approach was recommended to be adopted, which converges with the heavy discussion of human oversight in AI development </w:t>
      </w:r>
      <w:r w:rsidDel="00000000" w:rsidR="00000000" w:rsidRPr="00000000">
        <w:rPr>
          <w:rFonts w:ascii="Times New Roman" w:cs="Times New Roman" w:eastAsia="Times New Roman" w:hAnsi="Times New Roman"/>
          <w:color w:val="000000"/>
          <w:sz w:val="24"/>
          <w:szCs w:val="24"/>
          <w:rtl w:val="0"/>
        </w:rPr>
        <w:t xml:space="preserve">(</w:t>
      </w:r>
      <w:r w:rsidDel="00000000" w:rsidR="00000000" w:rsidRPr="00000000">
        <w:rPr>
          <w:rFonts w:ascii="Times New Roman" w:cs="Times New Roman" w:eastAsia="Times New Roman" w:hAnsi="Times New Roman"/>
          <w:sz w:val="24"/>
          <w:szCs w:val="24"/>
          <w:rtl w:val="0"/>
        </w:rPr>
        <w:t xml:space="preserve">See for example, </w:t>
      </w:r>
      <w:r w:rsidDel="00000000" w:rsidR="00000000" w:rsidRPr="00000000">
        <w:rPr>
          <w:rFonts w:ascii="Times New Roman" w:cs="Times New Roman" w:eastAsia="Times New Roman" w:hAnsi="Times New Roman"/>
          <w:color w:val="000000"/>
          <w:sz w:val="24"/>
          <w:szCs w:val="24"/>
          <w:rtl w:val="0"/>
        </w:rPr>
        <w:t xml:space="preserve">Mosqueira-Rey et al., 2023)</w:t>
      </w:r>
      <w:r w:rsidDel="00000000" w:rsidR="00000000" w:rsidRPr="00000000">
        <w:rPr>
          <w:rFonts w:ascii="Times New Roman" w:cs="Times New Roman" w:eastAsia="Times New Roman" w:hAnsi="Times New Roman"/>
          <w:sz w:val="24"/>
          <w:szCs w:val="24"/>
          <w:rtl w:val="0"/>
        </w:rPr>
        <w:t xml:space="preserve">. Especially the approach proposed in our focus groups coins with what Mosqueira-Rey et al. (2023) defined as interactive machine learning, in which “there is a closer interaction between users and learning systems, with people interactively supplying information in a more focused, frequent, and incremental way” (p.3013). A human-in-the-loop approach would enable users to reflect on and adjust their preferences stored in the PPA system, thereby improving the assistants' performance in terms of accuracy. </w:t>
      </w:r>
    </w:p>
    <w:p w:rsidR="00000000" w:rsidDel="00000000" w:rsidP="00000000" w:rsidRDefault="00000000" w:rsidRPr="00000000" w14:paraId="000000C3">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Furthermore, the prevailing view on data for PPA decisions seems to support relying only on users' </w:t>
      </w:r>
      <w:r w:rsidDel="00000000" w:rsidR="00000000" w:rsidRPr="00000000">
        <w:rPr>
          <w:rFonts w:ascii="Times New Roman" w:cs="Times New Roman" w:eastAsia="Times New Roman" w:hAnsi="Times New Roman"/>
          <w:i w:val="1"/>
          <w:sz w:val="24"/>
          <w:szCs w:val="24"/>
          <w:rtl w:val="0"/>
        </w:rPr>
        <w:t xml:space="preserve">explicitly stated</w:t>
      </w:r>
      <w:r w:rsidDel="00000000" w:rsidR="00000000" w:rsidRPr="00000000">
        <w:rPr>
          <w:rFonts w:ascii="Times New Roman" w:cs="Times New Roman" w:eastAsia="Times New Roman" w:hAnsi="Times New Roman"/>
          <w:sz w:val="24"/>
          <w:szCs w:val="24"/>
          <w:rtl w:val="0"/>
        </w:rPr>
        <w:t xml:space="preserve"> preferences. Users should have the autonomy to decide to exclude sensitive data like personality traits, but only when they understand the potential consequences of inaccurate personalization. To maintain user agency, developers must understand users' perceptions of risks and concerns and incorporate them into the assistants in an iterative, continuous manner to enable improvement over time. </w:t>
      </w:r>
    </w:p>
    <w:p w:rsidR="00000000" w:rsidDel="00000000" w:rsidP="00000000" w:rsidRDefault="00000000" w:rsidRPr="00000000" w14:paraId="000000C4">
      <w:pPr>
        <w:ind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In addition, participants argued that users should be able to retain oversight roles, correcting and overriding (inaccurate or outdated) PPA decisions. Users should periodically verify their privacy preferences in PPAs and have the possibility to lodge complaints if needed. Appropriateness of PPA decisions could include evaluating the implications of decisions (not only whether a PPA follows the rules logically, but also whether it infers anything unintended), tracking data access abuse rates (how often a PPA grants data access in unauthorized or unintended manners that breach established rules), measuring how often users correct PPA decisions, and assessing decision robustness across contexts or by reasoning on adversarial examples. </w:t>
      </w:r>
      <w:r w:rsidDel="00000000" w:rsidR="00000000" w:rsidRPr="00000000">
        <w:rPr>
          <w:rFonts w:ascii="Times New Roman" w:cs="Times New Roman" w:eastAsia="Times New Roman" w:hAnsi="Times New Roman"/>
          <w:sz w:val="24"/>
          <w:szCs w:val="24"/>
          <w:rtl w:val="0"/>
        </w:rPr>
        <w:t xml:space="preserve">Other solutions proposed by participants concern the effective exercise of rights mandated in data protection law </w:t>
      </w:r>
      <w:r w:rsidDel="00000000" w:rsidR="00000000" w:rsidRPr="00000000">
        <w:rPr>
          <w:rFonts w:ascii="Times New Roman" w:cs="Times New Roman" w:eastAsia="Times New Roman" w:hAnsi="Times New Roman"/>
          <w:color w:val="0000ff"/>
          <w:sz w:val="24"/>
          <w:szCs w:val="24"/>
          <w:rtl w:val="0"/>
        </w:rPr>
        <w:t xml:space="preserve">to prevent the use of fully automated PPAs or the processing of specific personal information by PPAs</w:t>
      </w:r>
      <w:r w:rsidDel="00000000" w:rsidR="00000000" w:rsidRPr="00000000">
        <w:rPr>
          <w:rFonts w:ascii="Times New Roman" w:cs="Times New Roman" w:eastAsia="Times New Roman" w:hAnsi="Times New Roman"/>
          <w:sz w:val="24"/>
          <w:szCs w:val="24"/>
          <w:rtl w:val="0"/>
        </w:rPr>
        <w:t xml:space="preserve">. Participants supported the ability to opt out (Article 7(3) GDPR) on the use of fully automated PPAs and processing of personal information and the right to restrict processing (Article 18 GDPR) on the PPA’s use of personal information for its decision-making. However, whether the two articles are applicable here is subject to debate. For example, Article 18 applies under specific conditions, such as disputing accuracy or unlawful processing. A request to restrict processing based on a user’s privacy preference to limit a PPA’s use of their information would not qualify under the conditions outlined in Article 18. Article 7(3), </w:t>
      </w:r>
      <w:r w:rsidDel="00000000" w:rsidR="00000000" w:rsidRPr="00000000">
        <w:rPr>
          <w:rFonts w:ascii="Times New Roman" w:cs="Times New Roman" w:eastAsia="Times New Roman" w:hAnsi="Times New Roman"/>
          <w:color w:val="0000ff"/>
          <w:sz w:val="24"/>
          <w:szCs w:val="24"/>
          <w:rtl w:val="0"/>
        </w:rPr>
        <w:t xml:space="preserve">on the other hand,</w:t>
      </w:r>
      <w:r w:rsidDel="00000000" w:rsidR="00000000" w:rsidRPr="00000000">
        <w:rPr>
          <w:rFonts w:ascii="Times New Roman" w:cs="Times New Roman" w:eastAsia="Times New Roman" w:hAnsi="Times New Roman"/>
          <w:sz w:val="24"/>
          <w:szCs w:val="24"/>
          <w:rtl w:val="0"/>
        </w:rPr>
        <w:t xml:space="preserve"> only applies to processing based on consent, meaning that if the use of personal information by PPAs is based on a different legal basis, Article 7(3) would not be applicable. While participants did not bring this up, it is important to note that </w:t>
      </w:r>
      <w:r w:rsidDel="00000000" w:rsidR="00000000" w:rsidRPr="00000000">
        <w:rPr>
          <w:rFonts w:ascii="Times New Roman" w:cs="Times New Roman" w:eastAsia="Times New Roman" w:hAnsi="Times New Roman"/>
          <w:color w:val="0000ff"/>
          <w:sz w:val="24"/>
          <w:szCs w:val="24"/>
          <w:rtl w:val="0"/>
        </w:rPr>
        <w:t xml:space="preserve">users who want to block fully automated privacy decisions are better served by Art. 22 (1), which barsfully automated decisions that have a significiant impact on individual rights and freedoms unless a contract, explicit consent, or another statutory exception in Article 22 (2) justifies them. In addition, where the processing of PPA is grounded in “legitimate interests,” an Article 21 objection can itself force a temporary Article 18 restriction while the controller (in this case, PPA provider) weighs the objection.</w:t>
      </w:r>
      <w:r w:rsidDel="00000000" w:rsidR="00000000" w:rsidRPr="00000000">
        <w:rPr>
          <w:rtl w:val="0"/>
        </w:rPr>
      </w:r>
    </w:p>
    <w:p w:rsidR="00000000" w:rsidDel="00000000" w:rsidP="00000000" w:rsidRDefault="00000000" w:rsidRPr="00000000" w14:paraId="000000C5">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participants reiterated the (traditional) idea that there needs to be granular control over the PPA's decisions, such as user notifications on data transactions, granular opt-in to data processing, and the possibility of overriding past decisions and defaults. However, apart from the more general (realizable) possibility of retaining the choice to opt for hybrid systems instead of full automation, granular control does not solve the existing issue of choice overload; in short, this is an unattainable regime for privacy decision-making at scale. While lack of human involvement is an important and justified concern that needs to be addressed, we believe that emphasizing this kind of human involvement undermines the very objective of a PPA, which is freeing users from the overload of privacy notices and data-related decisions. Without clear boundaries, a PPA could become a paradoxical tool: While it is intended to reduce user burden and automation asymmetry that decreases people’s agency, it may instead end up giving users even more to manage. Furthermore, we invite readers to reconsider the most important ability for individuals to possess in the age of human-machine symbiosis. In the context of PPAs, we suggest that this ability could be the ability to critically judge PPA decisions by having an overall solid understanding of the capabilities and limitations of PPAs. This not only derives from the enhanced usability and transparency of these tools but also from strengthened literacy on technology, data, and AI. Research on privacy literacy has shown that social media users with higher online privacy literacy are more likely to engage in cautious privacy management </w:t>
      </w:r>
      <w:r w:rsidDel="00000000" w:rsidR="00000000" w:rsidRPr="00000000">
        <w:rPr>
          <w:rFonts w:ascii="Times New Roman" w:cs="Times New Roman" w:eastAsia="Times New Roman" w:hAnsi="Times New Roman"/>
          <w:color w:val="000000"/>
          <w:sz w:val="24"/>
          <w:szCs w:val="24"/>
          <w:rtl w:val="0"/>
        </w:rPr>
        <w:t xml:space="preserve">(Bartsch &amp; Dienlin, 2016)</w:t>
      </w:r>
      <w:r w:rsidDel="00000000" w:rsidR="00000000" w:rsidRPr="00000000">
        <w:rPr>
          <w:rFonts w:ascii="Times New Roman" w:cs="Times New Roman" w:eastAsia="Times New Roman" w:hAnsi="Times New Roman"/>
          <w:sz w:val="24"/>
          <w:szCs w:val="24"/>
          <w:rtl w:val="0"/>
        </w:rPr>
        <w:t xml:space="preserve">. To start, users need to be educated to reach a degree of technological (AI) and privacy literacy and use PPAs responsibly and cautiously. This can be achieved, for example, by integrating technological and privacy literacy training into educational programs or embedding educational features directly within PPAs. </w:t>
      </w:r>
    </w:p>
    <w:p w:rsidR="00000000" w:rsidDel="00000000" w:rsidP="00000000" w:rsidRDefault="00000000" w:rsidRPr="00000000" w14:paraId="000000C7">
      <w:pPr>
        <w:ind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8">
      <w:pPr>
        <w:pStyle w:val="Heading3"/>
        <w:rPr>
          <w:rFonts w:ascii="Times New Roman" w:cs="Times New Roman" w:eastAsia="Times New Roman" w:hAnsi="Times New Roman"/>
          <w:i w:val="1"/>
          <w:sz w:val="24"/>
          <w:szCs w:val="24"/>
          <w:highlight w:val="white"/>
        </w:rPr>
      </w:pPr>
      <w:bookmarkStart w:colFirst="0" w:colLast="0" w:name="_heading=h.i61plrddf9ly" w:id="26"/>
      <w:bookmarkEnd w:id="26"/>
      <w:r w:rsidDel="00000000" w:rsidR="00000000" w:rsidRPr="00000000">
        <w:rPr>
          <w:rFonts w:ascii="Times New Roman" w:cs="Times New Roman" w:eastAsia="Times New Roman" w:hAnsi="Times New Roman"/>
          <w:i w:val="1"/>
          <w:sz w:val="24"/>
          <w:szCs w:val="24"/>
          <w:rtl w:val="0"/>
        </w:rPr>
        <w:t xml:space="preserve">7.2 Multistakeholders’ public scrutiny</w:t>
      </w:r>
      <w:r w:rsidDel="00000000" w:rsidR="00000000" w:rsidRPr="00000000">
        <w:rPr>
          <w:rtl w:val="0"/>
        </w:rPr>
      </w:r>
    </w:p>
    <w:p w:rsidR="00000000" w:rsidDel="00000000" w:rsidP="00000000" w:rsidRDefault="00000000" w:rsidRPr="00000000" w14:paraId="000000C9">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Participants in the focus groups repeatedly proposed a multistakeholder model to scrutinize the development, operation, and oversight of PPAs. One area of PPAs that could use multistakeholder scrutiny is setting the defaults for PPAs to support PPA users’ privacy decision-making. However, an important question arises: a default setting in whose favor? Ideally, default settings should protect both public and individual interests while considering the economic interests of businesses, but all of these can be at odds in a balancing exercise. For example, business models based on massive data collection pursue interests that do not align with privacy-friendly defaults, as discussed by Zuboff (</w:t>
      </w:r>
      <w:r w:rsidDel="00000000" w:rsidR="00000000" w:rsidRPr="00000000">
        <w:rPr>
          <w:rFonts w:ascii="Times New Roman" w:cs="Times New Roman" w:eastAsia="Times New Roman" w:hAnsi="Times New Roman"/>
          <w:color w:val="000000"/>
          <w:sz w:val="24"/>
          <w:szCs w:val="24"/>
          <w:highlight w:val="white"/>
          <w:rtl w:val="0"/>
        </w:rPr>
        <w:t xml:space="preserve">2019)</w:t>
      </w:r>
      <w:r w:rsidDel="00000000" w:rsidR="00000000" w:rsidRPr="00000000">
        <w:rPr>
          <w:rFonts w:ascii="Times New Roman" w:cs="Times New Roman" w:eastAsia="Times New Roman" w:hAnsi="Times New Roman"/>
          <w:sz w:val="24"/>
          <w:szCs w:val="24"/>
          <w:rtl w:val="0"/>
        </w:rPr>
        <w:t xml:space="preserve"> on surveillance capitalism</w:t>
      </w:r>
      <w:r w:rsidDel="00000000" w:rsidR="00000000" w:rsidRPr="00000000">
        <w:rPr>
          <w:rFonts w:ascii="Times New Roman" w:cs="Times New Roman" w:eastAsia="Times New Roman" w:hAnsi="Times New Roman"/>
          <w:sz w:val="24"/>
          <w:szCs w:val="24"/>
          <w:highlight w:val="white"/>
          <w:rtl w:val="0"/>
        </w:rPr>
        <w:t xml:space="preserve">, while sometimes public interests encourage data sharing (e.g., for research purposes and other public interests purposes under the DGA and the European Health Data Space [EHDS]), which may counter to individuals' willingness to </w:t>
      </w:r>
      <w:r w:rsidDel="00000000" w:rsidR="00000000" w:rsidRPr="00000000">
        <w:rPr>
          <w:rFonts w:ascii="Times New Roman" w:cs="Times New Roman" w:eastAsia="Times New Roman" w:hAnsi="Times New Roman"/>
          <w:i w:val="1"/>
          <w:sz w:val="24"/>
          <w:szCs w:val="24"/>
          <w:highlight w:val="white"/>
          <w:rtl w:val="0"/>
        </w:rPr>
        <w:t xml:space="preserve">not</w:t>
      </w:r>
      <w:r w:rsidDel="00000000" w:rsidR="00000000" w:rsidRPr="00000000">
        <w:rPr>
          <w:rFonts w:ascii="Times New Roman" w:cs="Times New Roman" w:eastAsia="Times New Roman" w:hAnsi="Times New Roman"/>
          <w:sz w:val="24"/>
          <w:szCs w:val="24"/>
          <w:highlight w:val="white"/>
          <w:rtl w:val="0"/>
        </w:rPr>
        <w:t xml:space="preserve"> disclose certain information. Certain challenges in the balancing of different interests are currently being resolved with the development of privacy-enhancing technologies (PETs), such as federated learning, which aims to reduce the sharing and circulation of personal information by enabling various entities to collaboratively train a machine learning model without exchanging data </w:t>
      </w:r>
      <w:r w:rsidDel="00000000" w:rsidR="00000000" w:rsidRPr="00000000">
        <w:rPr>
          <w:rFonts w:ascii="Times New Roman" w:cs="Times New Roman" w:eastAsia="Times New Roman" w:hAnsi="Times New Roman"/>
          <w:color w:val="000000"/>
          <w:sz w:val="24"/>
          <w:szCs w:val="24"/>
          <w:highlight w:val="white"/>
          <w:rtl w:val="0"/>
        </w:rPr>
        <w:t xml:space="preserve">(McMahan et al., 2016)</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Nevertheless, technology alone cannot ease all the tensions nor can it guarantee the highest standards of regulatory compliance. </w:t>
      </w:r>
      <w:r w:rsidDel="00000000" w:rsidR="00000000" w:rsidRPr="00000000">
        <w:rPr>
          <w:rFonts w:ascii="Times New Roman" w:cs="Times New Roman" w:eastAsia="Times New Roman" w:hAnsi="Times New Roman"/>
          <w:color w:val="0000ff"/>
          <w:sz w:val="24"/>
          <w:szCs w:val="24"/>
          <w:highlight w:val="white"/>
          <w:rtl w:val="0"/>
        </w:rPr>
        <w:t xml:space="preserve">To do so, we need different stakeholders to partake in PPA design and scrutiny. </w:t>
      </w:r>
      <w:r w:rsidDel="00000000" w:rsidR="00000000" w:rsidRPr="00000000">
        <w:rPr>
          <w:rFonts w:ascii="Times New Roman" w:cs="Times New Roman" w:eastAsia="Times New Roman" w:hAnsi="Times New Roman"/>
          <w:sz w:val="24"/>
          <w:szCs w:val="24"/>
          <w:highlight w:val="white"/>
          <w:rtl w:val="0"/>
        </w:rPr>
        <w:t xml:space="preserve">Different stakeholders need to be involved to achieve this goal, including</w:t>
      </w:r>
      <w:r w:rsidDel="00000000" w:rsidR="00000000" w:rsidRPr="00000000">
        <w:rPr>
          <w:rFonts w:ascii="Times New Roman" w:cs="Times New Roman" w:eastAsia="Times New Roman" w:hAnsi="Times New Roman"/>
          <w:sz w:val="24"/>
          <w:szCs w:val="24"/>
          <w:rtl w:val="0"/>
        </w:rPr>
        <w:t xml:space="preserve"> government and independent authorities that should oversee PPAs by conducting audits, establishing accreditation and certification programs, and defining permissible actions (i.e., the boundary between what PPAs are allowed and what is prohibited). Additional oversight measures include developing codes of conduct, incorporating aggregated human evaluations on PPA correctness, implementing community oversight, maintaining a blacklist of third-party entities that breach data use regulations through data tracking, and establishing openness for PPAs, for example, using open-source software or open-data practices for developing and maintaining PPAs. Such openness could involve providing open data sources to clarify how PPAs make decisions (thereby reducing “black box” effects) or publishing open code for multistakeholders’ scrutiny. However, open-sourced commercial PPAs raise questions about whether companies would be willing to adopt these measures as they would go against their own interests, echoing the need to balance the interests of different stakeholders. </w:t>
      </w:r>
    </w:p>
    <w:p w:rsidR="00000000" w:rsidDel="00000000" w:rsidP="00000000" w:rsidRDefault="00000000" w:rsidRPr="00000000" w14:paraId="000000CA">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exert oversight for accountability, a combination of stakeholders is identified, including users, (PPA and celebrity profiles) communities and (PPA) industry, enforcement, and regulatory bodies such as DPAs. Ultimately, human beings should be accountable for PPA mistakes, including PPA developers and those creating celebrity profiles. If a PPA makes a wrong decision, explainability of abnormal behavior and misbehaviors needs to be available. PPAs should further ensure data flow traceability as part of their oversight responsibilities. Since PPAs may qualify as data intermediation services under the Data Governance Act (DGA), certain requirements recommended by focus group participants are already included in that legislation. For example, the necessary traceability of data flows proposed by participants is already addressed by the DGA’s requirement of keeping “a log record of the data intermediation activity” (Art. 12(o)). In 5.2.2, participants called for establishing public registries for PPA providers, which could be resolved by the DGA’s mandatory registration of data intermediation services into the publicly available registry held by the European Commission. </w:t>
      </w:r>
    </w:p>
    <w:p w:rsidR="00000000" w:rsidDel="00000000" w:rsidP="00000000" w:rsidRDefault="00000000" w:rsidRPr="00000000" w14:paraId="000000CB">
      <w:pPr>
        <w:ind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Concerns were expressed about potential PPA abuse, which reflects a general disillusion toward effective protection of people’s personal data in the current landscape. Although specific solutions weren’t meaningfully discussed, strengthening user control and increasing oversight could alert users and offer them possibilities to redress and override PPA decisions that go against an individual's best interest. To counteract manipulation by PPAs or third parties, users need to </w:t>
      </w:r>
      <w:r w:rsidDel="00000000" w:rsidR="00000000" w:rsidRPr="00000000">
        <w:rPr>
          <w:rFonts w:ascii="Times New Roman" w:cs="Times New Roman" w:eastAsia="Times New Roman" w:hAnsi="Times New Roman"/>
          <w:i w:val="1"/>
          <w:sz w:val="24"/>
          <w:szCs w:val="24"/>
          <w:rtl w:val="0"/>
        </w:rPr>
        <w:t xml:space="preserve">understand</w:t>
      </w:r>
      <w:r w:rsidDel="00000000" w:rsidR="00000000" w:rsidRPr="00000000">
        <w:rPr>
          <w:rFonts w:ascii="Times New Roman" w:cs="Times New Roman" w:eastAsia="Times New Roman" w:hAnsi="Times New Roman"/>
          <w:sz w:val="24"/>
          <w:szCs w:val="24"/>
          <w:rtl w:val="0"/>
        </w:rPr>
        <w:t xml:space="preserve"> their preferences and be able to </w:t>
      </w:r>
      <w:r w:rsidDel="00000000" w:rsidR="00000000" w:rsidRPr="00000000">
        <w:rPr>
          <w:rFonts w:ascii="Times New Roman" w:cs="Times New Roman" w:eastAsia="Times New Roman" w:hAnsi="Times New Roman"/>
          <w:i w:val="1"/>
          <w:sz w:val="24"/>
          <w:szCs w:val="24"/>
          <w:rtl w:val="0"/>
        </w:rPr>
        <w:t xml:space="preserve">verify </w:t>
      </w:r>
      <w:r w:rsidDel="00000000" w:rsidR="00000000" w:rsidRPr="00000000">
        <w:rPr>
          <w:rFonts w:ascii="Times New Roman" w:cs="Times New Roman" w:eastAsia="Times New Roman" w:hAnsi="Times New Roman"/>
          <w:sz w:val="24"/>
          <w:szCs w:val="24"/>
          <w:rtl w:val="0"/>
        </w:rPr>
        <w:t xml:space="preserve">third-party identities. For fully automated PPAs, users should only follow profiles of trusted, perhaps even certified, individuals. However, these solutions may add a cognitive burden rather than alleviating the hassle of countless privacy decisions. To counter manipulative attempts, raising user awareness alone or asking them to increase caution and revert to their reflective mind is insufficient, as manipulation often happens at subconscious levels, requiring more effective preventive and redress mechanisms. Furthermore, some participants proposed that users could pay for (commercial) PPA services as a way to address the shortcomings of PPAs that run on the current model profiting from user data. However, this "pay-or-okay" model has faced legal criticisms over its legality in the EU, where it may violate the GDPR’s requirement for freely given consent and potentially conflict with the Unfair Commercial Practices Directive (UCPD), Treaty on the Functioning of the European Union (TFEU), and the Digital Markets Act (DMA) </w:t>
      </w:r>
      <w:r w:rsidDel="00000000" w:rsidR="00000000" w:rsidRPr="00000000">
        <w:rPr>
          <w:rFonts w:ascii="Times New Roman" w:cs="Times New Roman" w:eastAsia="Times New Roman" w:hAnsi="Times New Roman"/>
          <w:color w:val="000000"/>
          <w:sz w:val="24"/>
          <w:szCs w:val="24"/>
          <w:rtl w:val="0"/>
        </w:rPr>
        <w:t xml:space="preserve">(D’Amico </w:t>
      </w:r>
      <w:r w:rsidDel="00000000" w:rsidR="00000000" w:rsidRPr="00000000">
        <w:rPr>
          <w:rFonts w:ascii="Times New Roman" w:cs="Times New Roman" w:eastAsia="Times New Roman" w:hAnsi="Times New Roman"/>
          <w:sz w:val="24"/>
          <w:szCs w:val="24"/>
          <w:rtl w:val="0"/>
        </w:rPr>
        <w:t xml:space="preserve">et al.</w:t>
      </w:r>
      <w:r w:rsidDel="00000000" w:rsidR="00000000" w:rsidRPr="00000000">
        <w:rPr>
          <w:rFonts w:ascii="Times New Roman" w:cs="Times New Roman" w:eastAsia="Times New Roman" w:hAnsi="Times New Roman"/>
          <w:color w:val="000000"/>
          <w:sz w:val="24"/>
          <w:szCs w:val="24"/>
          <w:rtl w:val="0"/>
        </w:rPr>
        <w:t xml:space="preserve">, 2024)</w:t>
      </w:r>
      <w:r w:rsidDel="00000000" w:rsidR="00000000" w:rsidRPr="00000000">
        <w:rPr>
          <w:rFonts w:ascii="Times New Roman" w:cs="Times New Roman" w:eastAsia="Times New Roman" w:hAnsi="Times New Roman"/>
          <w:sz w:val="24"/>
          <w:szCs w:val="24"/>
          <w:rtl w:val="0"/>
        </w:rPr>
        <w:t xml:space="preserve">. And more significantly, it risks turning privacy into a commercial good. This could create a privacy divide, where only wealthier individuals can afford better privacy protection. An alternative model proposed in the focus groups, likening PPAs to “techcare” (akin to healthcare), might be a better alternative where PPAs are a part of techcare, provided by states for free and of high quality.  In the literature, scholars have proposed to reconceptualize privacy as a public good </w:t>
      </w:r>
      <w:r w:rsidDel="00000000" w:rsidR="00000000" w:rsidRPr="00000000">
        <w:rPr>
          <w:rFonts w:ascii="Times New Roman" w:cs="Times New Roman" w:eastAsia="Times New Roman" w:hAnsi="Times New Roman"/>
          <w:color w:val="000000"/>
          <w:sz w:val="24"/>
          <w:szCs w:val="24"/>
          <w:rtl w:val="0"/>
        </w:rPr>
        <w:t xml:space="preserve">(Fairfield &amp; Engel, 2015; Garratt &amp; van Oordt, 2021; Sætra, 2020)</w:t>
      </w:r>
      <w:r w:rsidDel="00000000" w:rsidR="00000000" w:rsidRPr="00000000">
        <w:rPr>
          <w:rFonts w:ascii="Times New Roman" w:cs="Times New Roman" w:eastAsia="Times New Roman" w:hAnsi="Times New Roman"/>
          <w:sz w:val="24"/>
          <w:szCs w:val="24"/>
          <w:rtl w:val="0"/>
        </w:rPr>
        <w:t xml:space="preserve">, which opens up the need for government interventions to “ensure the provision of collectively optimal levels of privacy” </w:t>
      </w:r>
      <w:r w:rsidDel="00000000" w:rsidR="00000000" w:rsidRPr="00000000">
        <w:rPr>
          <w:rFonts w:ascii="Times New Roman" w:cs="Times New Roman" w:eastAsia="Times New Roman" w:hAnsi="Times New Roman"/>
          <w:color w:val="000000"/>
          <w:sz w:val="24"/>
          <w:szCs w:val="24"/>
          <w:rtl w:val="0"/>
        </w:rPr>
        <w:t xml:space="preserve">(Sætra, 2020, p. 8)</w:t>
      </w:r>
      <w:r w:rsidDel="00000000" w:rsidR="00000000" w:rsidRPr="00000000">
        <w:rPr>
          <w:rFonts w:ascii="Times New Roman" w:cs="Times New Roman" w:eastAsia="Times New Roman" w:hAnsi="Times New Roman"/>
          <w:sz w:val="24"/>
          <w:szCs w:val="24"/>
          <w:rtl w:val="0"/>
        </w:rPr>
        <w:t xml:space="preserve"> for example by preventing the negative externalities of individual privacy decisions to others. The discussion on whether privacy as a public good would align well with the EU’s privacy as a human right is beyond the scope of our discussion here. Moreover, we suggest a shift of focus on public goods from privacy to “concrete” technologies like PPAs. This involves making PPAs digital public goods, defined as “an institutionalized sharing of open-source software, open data, open AI models, open standards, and open content” </w:t>
      </w:r>
      <w:r w:rsidDel="00000000" w:rsidR="00000000" w:rsidRPr="00000000">
        <w:rPr>
          <w:rFonts w:ascii="Times New Roman" w:cs="Times New Roman" w:eastAsia="Times New Roman" w:hAnsi="Times New Roman"/>
          <w:color w:val="000000"/>
          <w:sz w:val="24"/>
          <w:szCs w:val="24"/>
          <w:rtl w:val="0"/>
        </w:rPr>
        <w:t xml:space="preserve">(Eaves et al., 2022, p. 1)</w:t>
      </w:r>
      <w:r w:rsidDel="00000000" w:rsidR="00000000" w:rsidRPr="00000000">
        <w:rPr>
          <w:rFonts w:ascii="Times New Roman" w:cs="Times New Roman" w:eastAsia="Times New Roman" w:hAnsi="Times New Roman"/>
          <w:sz w:val="24"/>
          <w:szCs w:val="24"/>
          <w:rtl w:val="0"/>
        </w:rPr>
        <w:t xml:space="preserve">. By making PPAs public goods and provided by the states for free (and ideally of high quality), PPAs would be able to at least reduce the privacy divide, making privacy protection accessible to all. </w:t>
      </w:r>
      <w:r w:rsidDel="00000000" w:rsidR="00000000" w:rsidRPr="00000000">
        <w:rPr>
          <w:rtl w:val="0"/>
        </w:rPr>
      </w:r>
    </w:p>
    <w:p w:rsidR="00000000" w:rsidDel="00000000" w:rsidP="00000000" w:rsidRDefault="00000000" w:rsidRPr="00000000" w14:paraId="000000CC">
      <w:pPr>
        <w:ind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pStyle w:val="Heading3"/>
        <w:rPr>
          <w:rFonts w:ascii="Times New Roman" w:cs="Times New Roman" w:eastAsia="Times New Roman" w:hAnsi="Times New Roman"/>
          <w:i w:val="1"/>
          <w:sz w:val="24"/>
          <w:szCs w:val="24"/>
        </w:rPr>
      </w:pPr>
      <w:bookmarkStart w:colFirst="0" w:colLast="0" w:name="_heading=h.xym1dw2teprq" w:id="27"/>
      <w:bookmarkEnd w:id="27"/>
      <w:r w:rsidDel="00000000" w:rsidR="00000000" w:rsidRPr="00000000">
        <w:rPr>
          <w:rFonts w:ascii="Times New Roman" w:cs="Times New Roman" w:eastAsia="Times New Roman" w:hAnsi="Times New Roman"/>
          <w:i w:val="1"/>
          <w:sz w:val="24"/>
          <w:szCs w:val="24"/>
          <w:rtl w:val="0"/>
        </w:rPr>
        <w:t xml:space="preserve">7.3 Promote Interoperability of PPAs</w:t>
      </w:r>
    </w:p>
    <w:p w:rsidR="00000000" w:rsidDel="00000000" w:rsidP="00000000" w:rsidRDefault="00000000" w:rsidRPr="00000000" w14:paraId="000000CE">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ensure PPAs are widely available and function seamlessly, developing interoperable data formats and applications is paramount. Interoperability allows data to flow easily between personal data spaces and third parties (whether public or private) that request access to information stored in an individual’s personal data space. To enable PPAs, a standardized semantic vocabulary is important because semantic heterogeneity—using different terms for the same concept or the same term for different concepts—makes consistent interpretation challenging in communications among different parties </w:t>
      </w:r>
      <w:r w:rsidDel="00000000" w:rsidR="00000000" w:rsidRPr="00000000">
        <w:rPr>
          <w:rFonts w:ascii="Times New Roman" w:cs="Times New Roman" w:eastAsia="Times New Roman" w:hAnsi="Times New Roman"/>
          <w:color w:val="000000"/>
          <w:sz w:val="24"/>
          <w:szCs w:val="24"/>
          <w:rtl w:val="0"/>
        </w:rPr>
        <w:t xml:space="preserve">(Bittner et al., 2005)</w:t>
      </w:r>
      <w:r w:rsidDel="00000000" w:rsidR="00000000" w:rsidRPr="00000000">
        <w:rPr>
          <w:rFonts w:ascii="Times New Roman" w:cs="Times New Roman" w:eastAsia="Times New Roman" w:hAnsi="Times New Roman"/>
          <w:sz w:val="24"/>
          <w:szCs w:val="24"/>
          <w:rtl w:val="0"/>
        </w:rPr>
        <w:t xml:space="preserve">. In addition, a semantic vocabulary enables the creation of digital consent receipts, which record “interactions and particulars (what/who/where/why/how) regarding consent” </w:t>
      </w:r>
      <w:r w:rsidDel="00000000" w:rsidR="00000000" w:rsidRPr="00000000">
        <w:rPr>
          <w:rFonts w:ascii="Times New Roman" w:cs="Times New Roman" w:eastAsia="Times New Roman" w:hAnsi="Times New Roman"/>
          <w:color w:val="000000"/>
          <w:sz w:val="24"/>
          <w:szCs w:val="24"/>
          <w:rtl w:val="0"/>
        </w:rPr>
        <w:t xml:space="preserve">(Jesus &amp; Pandit, 2022, p. 28546)</w:t>
      </w:r>
      <w:r w:rsidDel="00000000" w:rsidR="00000000" w:rsidRPr="00000000">
        <w:rPr>
          <w:rFonts w:ascii="Times New Roman" w:cs="Times New Roman" w:eastAsia="Times New Roman" w:hAnsi="Times New Roman"/>
          <w:sz w:val="24"/>
          <w:szCs w:val="24"/>
          <w:rtl w:val="0"/>
        </w:rPr>
        <w:t xml:space="preserve">. Consent receipts could enable the exchange and reuse of personal data, ensure traceability, and thereby enhance transparency. To support this, a standard for data semantics, like Data Privacy Vocabulary </w:t>
      </w:r>
      <w:r w:rsidDel="00000000" w:rsidR="00000000" w:rsidRPr="00000000">
        <w:rPr>
          <w:rFonts w:ascii="Times New Roman" w:cs="Times New Roman" w:eastAsia="Times New Roman" w:hAnsi="Times New Roman"/>
          <w:color w:val="000000"/>
          <w:sz w:val="24"/>
          <w:szCs w:val="24"/>
          <w:rtl w:val="0"/>
        </w:rPr>
        <w:t xml:space="preserve">(Pandit et al., 2019)</w:t>
      </w:r>
      <w:r w:rsidDel="00000000" w:rsidR="00000000" w:rsidRPr="00000000">
        <w:rPr>
          <w:rFonts w:ascii="Times New Roman" w:cs="Times New Roman" w:eastAsia="Times New Roman" w:hAnsi="Times New Roman"/>
          <w:sz w:val="24"/>
          <w:szCs w:val="24"/>
          <w:rtl w:val="0"/>
        </w:rPr>
        <w:t xml:space="preserve">, was recommended by participants. Once a standard is agreed upon, regulatory developments need to enable the implementation of interoperability standards by requiring or encouraging relevant stakeholders to adopt common protocols and data formats. Participants suggested that independent authorities (e.g., the European Data Protection Board (EDPB)) should be involved in clarifying regulatory matters regarding the (consistent) application of interoperability standards as needed.</w:t>
      </w:r>
    </w:p>
    <w:p w:rsidR="00000000" w:rsidDel="00000000" w:rsidP="00000000" w:rsidRDefault="00000000" w:rsidRPr="00000000" w14:paraId="000000CF">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interoperability emphasized by our participants is considered the backbone of successful data portability and data circulation. This is reflected in the further specification of the DGA, where data intermediation services should facilitate data exchange and even convert the data they receive into formats that enable effective interoperability both within and across sectors and nations (Art. 12(d)). Additionally, data intermediation services should consider commonly used open standards to ensure interoperability with other services (Art. 12(i)) to further develop the single market. Even user privacy preferences should be interoperable so that they can be smoothly transferred between PPAs. There is currently ongoing work from the semantic web community spearheading the creation of common specifications like the W3C Data Privacy Vocabulary </w:t>
      </w:r>
      <w:r w:rsidDel="00000000" w:rsidR="00000000" w:rsidRPr="00000000">
        <w:rPr>
          <w:rFonts w:ascii="Times New Roman" w:cs="Times New Roman" w:eastAsia="Times New Roman" w:hAnsi="Times New Roman"/>
          <w:color w:val="000000"/>
          <w:sz w:val="24"/>
          <w:szCs w:val="24"/>
          <w:rtl w:val="0"/>
        </w:rPr>
        <w:t xml:space="preserve">(Data Privacy Vocabulary (DPV), </w:t>
      </w:r>
      <w:r w:rsidDel="00000000" w:rsidR="00000000" w:rsidRPr="00000000">
        <w:rPr>
          <w:rFonts w:ascii="Times New Roman" w:cs="Times New Roman" w:eastAsia="Times New Roman" w:hAnsi="Times New Roman"/>
          <w:sz w:val="24"/>
          <w:szCs w:val="24"/>
          <w:rtl w:val="0"/>
        </w:rPr>
        <w:t xml:space="preserve">accessed 2024</w:t>
      </w:r>
      <w:r w:rsidDel="00000000" w:rsidR="00000000" w:rsidRPr="00000000">
        <w:rPr>
          <w:rFonts w:ascii="Times New Roman" w:cs="Times New Roman" w:eastAsia="Times New Roman" w:hAnsi="Times New Roman"/>
          <w:color w:val="000000"/>
          <w:sz w:val="24"/>
          <w:szCs w:val="24"/>
          <w:rtl w:val="0"/>
        </w:rPr>
        <w:t xml:space="preserve">)</w:t>
      </w:r>
      <w:r w:rsidDel="00000000" w:rsidR="00000000" w:rsidRPr="00000000">
        <w:rPr>
          <w:rFonts w:ascii="Times New Roman" w:cs="Times New Roman" w:eastAsia="Times New Roman" w:hAnsi="Times New Roman"/>
          <w:sz w:val="24"/>
          <w:szCs w:val="24"/>
          <w:rtl w:val="0"/>
        </w:rPr>
        <w:t xml:space="preserve">. In the meantime, the EU is spearheading legislative and regulatory efforts regarding interoperability. For example, the European Commission’s “Interoperable Europe” initiative</w:t>
      </w:r>
      <w:r w:rsidDel="00000000" w:rsidR="00000000" w:rsidRPr="00000000">
        <w:rPr>
          <w:rFonts w:ascii="Times New Roman" w:cs="Times New Roman" w:eastAsia="Times New Roman" w:hAnsi="Times New Roman"/>
          <w:sz w:val="24"/>
          <w:szCs w:val="24"/>
          <w:vertAlign w:val="superscript"/>
        </w:rPr>
        <w:footnoteReference w:customMarkFollows="0" w:id="5"/>
      </w:r>
      <w:r w:rsidDel="00000000" w:rsidR="00000000" w:rsidRPr="00000000">
        <w:rPr>
          <w:rFonts w:ascii="Times New Roman" w:cs="Times New Roman" w:eastAsia="Times New Roman" w:hAnsi="Times New Roman"/>
          <w:sz w:val="24"/>
          <w:szCs w:val="24"/>
          <w:rtl w:val="0"/>
        </w:rPr>
        <w:t xml:space="preserve"> addresses public sector policy issues around interoperability, and the recently entered-into-force Interoperable Europe Act (Regulation (EU) 2024/903) promotes cross-border data exchange for digital public services across the EU. To support them, in 2023, an established EC expert group known as the High-level Forum on European Standardization produced yearly recommendations on the actions needed to implement relevant regulations and ensure interoperability of data and data spaces. We suggest a collaborative approach between the semantic web community and the EU. This joint effort could significantly advance the adoption of an interoperability specification within the EU. Such a standardized approach could serve as a model for other jurisdictions to follow, fostering broader interoperability on a global scale.</w:t>
      </w:r>
    </w:p>
    <w:p w:rsidR="00000000" w:rsidDel="00000000" w:rsidP="00000000" w:rsidRDefault="00000000" w:rsidRPr="00000000" w14:paraId="000000D0">
      <w:pPr>
        <w:ind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ind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pStyle w:val="Heading3"/>
        <w:rPr>
          <w:rFonts w:ascii="Times New Roman" w:cs="Times New Roman" w:eastAsia="Times New Roman" w:hAnsi="Times New Roman"/>
          <w:sz w:val="24"/>
          <w:szCs w:val="24"/>
        </w:rPr>
      </w:pPr>
      <w:bookmarkStart w:colFirst="0" w:colLast="0" w:name="_heading=h.6h7xmzcuemgt" w:id="28"/>
      <w:bookmarkEnd w:id="28"/>
      <w:r w:rsidDel="00000000" w:rsidR="00000000" w:rsidRPr="00000000">
        <w:rPr>
          <w:rFonts w:ascii="Times New Roman" w:cs="Times New Roman" w:eastAsia="Times New Roman" w:hAnsi="Times New Roman"/>
          <w:sz w:val="24"/>
          <w:szCs w:val="24"/>
          <w:rtl w:val="0"/>
        </w:rPr>
        <w:t xml:space="preserve">Limitations</w:t>
      </w:r>
    </w:p>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Experts participating in the two focus groups were predominantly academics from a limited range of disciplines, which could lead to the absence of perspectives from other key stakeholders, such as big tech companies and regulators. We also consciously focused on accuracy, agency, and accountability to guide the discussion. Hence, the list of recommendations from the focus groups does not cover other aspects of concern about personalized privacy assistants. Future research could explore a more diverse selection of experts and consider alternative analytical methods. Despite the limitations, the findings presented in this paper touch on important concerns and compile valuable recommendations on solutions for the various stakeholders involved in developing and implementing personalized privacy assistants. We hope that future studies, prototype designs, and policy or legal discussions regarding personalized privacy assistants will consider the issues and recommendations highlighted in this paper</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D4">
      <w:pPr>
        <w:pStyle w:val="Heading2"/>
        <w:ind w:firstLine="0"/>
        <w:rPr>
          <w:rFonts w:ascii="Times New Roman" w:cs="Times New Roman" w:eastAsia="Times New Roman" w:hAnsi="Times New Roman"/>
          <w:i w:val="0"/>
          <w:color w:val="0000ff"/>
          <w:sz w:val="24"/>
          <w:szCs w:val="24"/>
        </w:rPr>
      </w:pPr>
      <w:bookmarkStart w:colFirst="0" w:colLast="0" w:name="_heading=h.qr2n6kn1tgfh" w:id="29"/>
      <w:bookmarkEnd w:id="29"/>
      <w:r w:rsidDel="00000000" w:rsidR="00000000" w:rsidRPr="00000000">
        <w:rPr>
          <w:rFonts w:ascii="Times New Roman" w:cs="Times New Roman" w:eastAsia="Times New Roman" w:hAnsi="Times New Roman"/>
          <w:i w:val="0"/>
          <w:color w:val="0000ff"/>
          <w:sz w:val="24"/>
          <w:szCs w:val="24"/>
          <w:rtl w:val="0"/>
        </w:rPr>
        <w:t xml:space="preserve">Conclusion</w:t>
      </w:r>
    </w:p>
    <w:p w:rsidR="00000000" w:rsidDel="00000000" w:rsidP="00000000" w:rsidRDefault="00000000" w:rsidRPr="00000000" w14:paraId="000000D5">
      <w:pPr>
        <w:ind w:firstLine="0"/>
        <w:rPr>
          <w:rFonts w:ascii="Times New Roman" w:cs="Times New Roman" w:eastAsia="Times New Roman" w:hAnsi="Times New Roman"/>
          <w:color w:val="0000ff"/>
          <w:sz w:val="24"/>
          <w:szCs w:val="24"/>
          <w:highlight w:val="white"/>
        </w:rPr>
      </w:pPr>
      <w:r w:rsidDel="00000000" w:rsidR="00000000" w:rsidRPr="00000000">
        <w:rPr>
          <w:rFonts w:ascii="Times New Roman" w:cs="Times New Roman" w:eastAsia="Times New Roman" w:hAnsi="Times New Roman"/>
          <w:color w:val="0000ff"/>
          <w:sz w:val="24"/>
          <w:szCs w:val="24"/>
          <w:rtl w:val="0"/>
        </w:rPr>
        <w:t xml:space="preserve">While our </w:t>
      </w:r>
      <w:r w:rsidDel="00000000" w:rsidR="00000000" w:rsidRPr="00000000">
        <w:rPr>
          <w:rFonts w:ascii="Times New Roman" w:cs="Times New Roman" w:eastAsia="Times New Roman" w:hAnsi="Times New Roman"/>
          <w:color w:val="0000ff"/>
          <w:sz w:val="24"/>
          <w:szCs w:val="24"/>
          <w:highlight w:val="white"/>
          <w:rtl w:val="0"/>
        </w:rPr>
        <w:t xml:space="preserve">scenario for a personalized privacy assistant (PPA) was highly speculative, we see more and more examples of PPAs, from AI-driven personalized privacy assistants (Morel et al., 2025) and granted patents (e.g., US Patent 10,956,586, US Patent 11,768,949, US Patent 12,235,973 from the Personalized Privacy Assistant Project, accessed in 2025).  In a society with a legal paradigm that demands individuals to manage their own privacy, individuals face a reality where they are supposed to make far too many decisions about their data beyond their cognitive load, whereas data flows and digital services are immensely growing, and service providers sometimes recruit manipulative designs to nudge people for more disclosure. As a result, PPAs can no longer be science fiction. They could play an important role in the imminent future. The questions we raise are therefore central to ensuring reliable personal data management with PPAs and to giving people meaningful control as they navigate an ocean of privacy decisions.</w:t>
      </w:r>
      <w:r w:rsidDel="00000000" w:rsidR="00000000" w:rsidRPr="00000000">
        <w:rPr>
          <w:rtl w:val="0"/>
        </w:rPr>
      </w:r>
    </w:p>
    <w:p w:rsidR="00000000" w:rsidDel="00000000" w:rsidP="00000000" w:rsidRDefault="00000000" w:rsidRPr="00000000" w14:paraId="000000D6">
      <w:pPr>
        <w:ind w:left="0"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To explore our questions, we conducted two focus groups with domain experts (n = 25) to identify the technical, social, and legal challenges that must be addressed, as well as the key actions required, for PPAs to become viable in the future. Guided by the three dimensions of agency, accuracy, and accountability, participants broadly agreed that hybrid PPAs are the most desirable for users compared with fully manual or fully automated setups. Nonetheless, opinions diverged on how to design such hybrid PPAs in ways that simultaneously address the identified challenges and the three dimensions. After scrutinizing the themes from the focus groups, we highlight three key takeaways: PPAs must respect user agency by assisting, not replacing, user decision-making; multistakeholder participation is essential in PPA development, operation, and improvement; and interoperability is integral for the successful deployment of PPAs. For the development of PPAs or similar privacy-enhancing technologies, we recommend a more proactive participation of stakeholders, such as governments, enforcement, and users, making the design of such technologies beyond mere technology or industry initiatives. </w:t>
      </w:r>
      <w:r w:rsidDel="00000000" w:rsidR="00000000" w:rsidRPr="00000000">
        <w:rPr>
          <w:rtl w:val="0"/>
        </w:rPr>
      </w:r>
    </w:p>
    <w:p w:rsidR="00000000" w:rsidDel="00000000" w:rsidP="00000000" w:rsidRDefault="00000000" w:rsidRPr="00000000" w14:paraId="000000D7">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ind w:left="0" w:firstLine="0"/>
        <w:rPr/>
      </w:pPr>
      <w:bookmarkStart w:colFirst="0" w:colLast="0" w:name="_heading=h.vrqv92z07s6q" w:id="30"/>
      <w:bookmarkEnd w:id="30"/>
      <w:r w:rsidDel="00000000" w:rsidR="00000000" w:rsidRPr="00000000">
        <w:rPr>
          <w:rtl w:val="0"/>
        </w:rPr>
      </w:r>
    </w:p>
    <w:p w:rsidR="00000000" w:rsidDel="00000000" w:rsidP="00000000" w:rsidRDefault="00000000" w:rsidRPr="00000000" w14:paraId="000000D9">
      <w:pPr>
        <w:pStyle w:val="Heading1"/>
        <w:rPr>
          <w:rFonts w:ascii="Times New Roman" w:cs="Times New Roman" w:eastAsia="Times New Roman" w:hAnsi="Times New Roman"/>
        </w:rPr>
      </w:pPr>
      <w:bookmarkStart w:colFirst="0" w:colLast="0" w:name="_heading=h.6py7hik0czc1" w:id="31"/>
      <w:bookmarkEnd w:id="31"/>
      <w:r w:rsidDel="00000000" w:rsidR="00000000" w:rsidRPr="00000000">
        <w:rPr>
          <w:rFonts w:ascii="Times New Roman" w:cs="Times New Roman" w:eastAsia="Times New Roman" w:hAnsi="Times New Roman"/>
          <w:rtl w:val="0"/>
        </w:rPr>
        <w:t xml:space="preserve">References</w:t>
      </w:r>
    </w:p>
    <w:p w:rsidR="00000000" w:rsidDel="00000000" w:rsidP="00000000" w:rsidRDefault="00000000" w:rsidRPr="00000000" w14:paraId="000000DA">
      <w:pPr>
        <w:widowControl w:val="0"/>
        <w:pBdr>
          <w:top w:space="0" w:sz="0" w:val="nil"/>
          <w:left w:space="0" w:sz="0" w:val="nil"/>
          <w:bottom w:space="0" w:sz="0" w:val="nil"/>
          <w:right w:space="0" w:sz="0" w:val="nil"/>
          <w:between w:space="0" w:sz="0" w:val="nil"/>
        </w:pBdr>
        <w:shd w:fill="auto" w:val="clear"/>
        <w:spacing w:before="220"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Abuelgasim, A., &amp; Kayem, A. (2016). An approach to personalized privacy policy recommendations on online social networks. </w:t>
      </w:r>
      <w:r w:rsidDel="00000000" w:rsidR="00000000" w:rsidRPr="00000000">
        <w:rPr>
          <w:rFonts w:ascii="Times New Roman" w:cs="Times New Roman" w:eastAsia="Times New Roman" w:hAnsi="Times New Roman"/>
          <w:i w:val="1"/>
          <w:color w:val="000000"/>
          <w:sz w:val="24"/>
          <w:szCs w:val="24"/>
          <w:rtl w:val="0"/>
        </w:rPr>
        <w:t xml:space="preserve">Proceedings of the 2nd International Conference on Information Systems Security and Privacy</w:t>
      </w:r>
      <w:r w:rsidDel="00000000" w:rsidR="00000000" w:rsidRPr="00000000">
        <w:rPr>
          <w:rFonts w:ascii="Times New Roman" w:cs="Times New Roman" w:eastAsia="Times New Roman" w:hAnsi="Times New Roman"/>
          <w:color w:val="000000"/>
          <w:sz w:val="24"/>
          <w:szCs w:val="24"/>
          <w:rtl w:val="0"/>
        </w:rPr>
        <w:t xml:space="preserve">. 2nd International Conference on Information Systems Security and Privacy, Rome, Italy. https://doi.org/</w:t>
      </w:r>
      <w:hyperlink r:id="rId8">
        <w:r w:rsidDel="00000000" w:rsidR="00000000" w:rsidRPr="00000000">
          <w:rPr>
            <w:rFonts w:ascii="Times New Roman" w:cs="Times New Roman" w:eastAsia="Times New Roman" w:hAnsi="Times New Roman"/>
            <w:color w:val="000000"/>
            <w:sz w:val="24"/>
            <w:szCs w:val="24"/>
            <w:rtl w:val="0"/>
          </w:rPr>
          <w:t xml:space="preserve">10.5220/0005689701260137</w:t>
        </w:r>
      </w:hyperlink>
      <w:r w:rsidDel="00000000" w:rsidR="00000000" w:rsidRPr="00000000">
        <w:rPr>
          <w:rtl w:val="0"/>
        </w:rPr>
      </w:r>
    </w:p>
    <w:p w:rsidR="00000000" w:rsidDel="00000000" w:rsidP="00000000" w:rsidRDefault="00000000" w:rsidRPr="00000000" w14:paraId="000000DB">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Aplin, T., Radauer, A., Bader, M. A., &amp; Searle, N. (2023). The role of EU trade secrets law in the data economy: An empirical analysis. </w:t>
      </w:r>
      <w:r w:rsidDel="00000000" w:rsidR="00000000" w:rsidRPr="00000000">
        <w:rPr>
          <w:rFonts w:ascii="Times New Roman" w:cs="Times New Roman" w:eastAsia="Times New Roman" w:hAnsi="Times New Roman"/>
          <w:i w:val="1"/>
          <w:color w:val="000000"/>
          <w:sz w:val="24"/>
          <w:szCs w:val="24"/>
          <w:rtl w:val="0"/>
        </w:rPr>
        <w:t xml:space="preserve">IIC; International Review of Industrial Property and Copyright Law</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54</w:t>
      </w:r>
      <w:r w:rsidDel="00000000" w:rsidR="00000000" w:rsidRPr="00000000">
        <w:rPr>
          <w:rFonts w:ascii="Times New Roman" w:cs="Times New Roman" w:eastAsia="Times New Roman" w:hAnsi="Times New Roman"/>
          <w:color w:val="000000"/>
          <w:sz w:val="24"/>
          <w:szCs w:val="24"/>
          <w:rtl w:val="0"/>
        </w:rPr>
        <w:t xml:space="preserve">(6), 1–33. https://doi.org/</w:t>
      </w:r>
      <w:hyperlink r:id="rId9">
        <w:r w:rsidDel="00000000" w:rsidR="00000000" w:rsidRPr="00000000">
          <w:rPr>
            <w:rFonts w:ascii="Times New Roman" w:cs="Times New Roman" w:eastAsia="Times New Roman" w:hAnsi="Times New Roman"/>
            <w:color w:val="000000"/>
            <w:sz w:val="24"/>
            <w:szCs w:val="24"/>
            <w:rtl w:val="0"/>
          </w:rPr>
          <w:t xml:space="preserve">10.1007/s40319-023-01325-8</w:t>
        </w:r>
      </w:hyperlink>
      <w:r w:rsidDel="00000000" w:rsidR="00000000" w:rsidRPr="00000000">
        <w:rPr>
          <w:rtl w:val="0"/>
        </w:rPr>
      </w:r>
    </w:p>
    <w:p w:rsidR="00000000" w:rsidDel="00000000" w:rsidP="00000000" w:rsidRDefault="00000000" w:rsidRPr="00000000" w14:paraId="000000DC">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Bartsch, M., &amp; Dienlin, T. (2016). Control your Facebook: An analysis of online privacy literacy. </w:t>
      </w:r>
      <w:r w:rsidDel="00000000" w:rsidR="00000000" w:rsidRPr="00000000">
        <w:rPr>
          <w:rFonts w:ascii="Times New Roman" w:cs="Times New Roman" w:eastAsia="Times New Roman" w:hAnsi="Times New Roman"/>
          <w:i w:val="1"/>
          <w:color w:val="000000"/>
          <w:sz w:val="24"/>
          <w:szCs w:val="24"/>
          <w:rtl w:val="0"/>
        </w:rPr>
        <w:t xml:space="preserve">Computers in Human Behavior</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56</w:t>
      </w:r>
      <w:r w:rsidDel="00000000" w:rsidR="00000000" w:rsidRPr="00000000">
        <w:rPr>
          <w:rFonts w:ascii="Times New Roman" w:cs="Times New Roman" w:eastAsia="Times New Roman" w:hAnsi="Times New Roman"/>
          <w:color w:val="000000"/>
          <w:sz w:val="24"/>
          <w:szCs w:val="24"/>
          <w:rtl w:val="0"/>
        </w:rPr>
        <w:t xml:space="preserve">, 147–154. https://doi.org/</w:t>
      </w:r>
      <w:hyperlink r:id="rId10">
        <w:r w:rsidDel="00000000" w:rsidR="00000000" w:rsidRPr="00000000">
          <w:rPr>
            <w:rFonts w:ascii="Times New Roman" w:cs="Times New Roman" w:eastAsia="Times New Roman" w:hAnsi="Times New Roman"/>
            <w:color w:val="000000"/>
            <w:sz w:val="24"/>
            <w:szCs w:val="24"/>
            <w:rtl w:val="0"/>
          </w:rPr>
          <w:t xml:space="preserve">10.1016/j.chb.2015.11.022</w:t>
        </w:r>
      </w:hyperlink>
      <w:r w:rsidDel="00000000" w:rsidR="00000000" w:rsidRPr="00000000">
        <w:rPr>
          <w:rtl w:val="0"/>
        </w:rPr>
      </w:r>
    </w:p>
    <w:p w:rsidR="00000000" w:rsidDel="00000000" w:rsidP="00000000" w:rsidRDefault="00000000" w:rsidRPr="00000000" w14:paraId="000000DD">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Bittner, T., Donnelly, M., &amp; Winter, S. (2005). Ontology and Semantic Interoperability. In </w:t>
      </w:r>
      <w:r w:rsidDel="00000000" w:rsidR="00000000" w:rsidRPr="00000000">
        <w:rPr>
          <w:rFonts w:ascii="Times New Roman" w:cs="Times New Roman" w:eastAsia="Times New Roman" w:hAnsi="Times New Roman"/>
          <w:i w:val="1"/>
          <w:color w:val="000000"/>
          <w:sz w:val="24"/>
          <w:szCs w:val="24"/>
          <w:rtl w:val="0"/>
        </w:rPr>
        <w:t xml:space="preserve">Large-scale 3D Data Integration</w:t>
      </w:r>
      <w:r w:rsidDel="00000000" w:rsidR="00000000" w:rsidRPr="00000000">
        <w:rPr>
          <w:rFonts w:ascii="Times New Roman" w:cs="Times New Roman" w:eastAsia="Times New Roman" w:hAnsi="Times New Roman"/>
          <w:color w:val="000000"/>
          <w:sz w:val="24"/>
          <w:szCs w:val="24"/>
          <w:rtl w:val="0"/>
        </w:rPr>
        <w:t xml:space="preserve"> (pp. 139–160). CRC Press. https://doi.org/</w:t>
      </w:r>
      <w:hyperlink r:id="rId11">
        <w:r w:rsidDel="00000000" w:rsidR="00000000" w:rsidRPr="00000000">
          <w:rPr>
            <w:rFonts w:ascii="Times New Roman" w:cs="Times New Roman" w:eastAsia="Times New Roman" w:hAnsi="Times New Roman"/>
            <w:color w:val="000000"/>
            <w:sz w:val="24"/>
            <w:szCs w:val="24"/>
            <w:rtl w:val="0"/>
          </w:rPr>
          <w:t xml:space="preserve">10.1201/9781420036282-7</w:t>
        </w:r>
      </w:hyperlink>
      <w:r w:rsidDel="00000000" w:rsidR="00000000" w:rsidRPr="00000000">
        <w:rPr>
          <w:rtl w:val="0"/>
        </w:rPr>
      </w:r>
    </w:p>
    <w:p w:rsidR="00000000" w:rsidDel="00000000" w:rsidP="00000000" w:rsidRDefault="00000000" w:rsidRPr="00000000" w14:paraId="000000DE">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Braun, V., &amp; Clarke, V. (2021). Can I use TA? Should I use TA? Should I not use TA? Comparing reflexive thematic analysis and other pattern‐based qualitative analytic approaches. </w:t>
      </w:r>
      <w:r w:rsidDel="00000000" w:rsidR="00000000" w:rsidRPr="00000000">
        <w:rPr>
          <w:rFonts w:ascii="Times New Roman" w:cs="Times New Roman" w:eastAsia="Times New Roman" w:hAnsi="Times New Roman"/>
          <w:i w:val="1"/>
          <w:color w:val="000000"/>
          <w:sz w:val="24"/>
          <w:szCs w:val="24"/>
          <w:rtl w:val="0"/>
        </w:rPr>
        <w:t xml:space="preserve">Counselling and Psychotherapy Research</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21</w:t>
      </w:r>
      <w:r w:rsidDel="00000000" w:rsidR="00000000" w:rsidRPr="00000000">
        <w:rPr>
          <w:rFonts w:ascii="Times New Roman" w:cs="Times New Roman" w:eastAsia="Times New Roman" w:hAnsi="Times New Roman"/>
          <w:color w:val="000000"/>
          <w:sz w:val="24"/>
          <w:szCs w:val="24"/>
          <w:rtl w:val="0"/>
        </w:rPr>
        <w:t xml:space="preserve">(1), 37–47. https://doi.org/</w:t>
      </w:r>
      <w:hyperlink r:id="rId12">
        <w:r w:rsidDel="00000000" w:rsidR="00000000" w:rsidRPr="00000000">
          <w:rPr>
            <w:rFonts w:ascii="Times New Roman" w:cs="Times New Roman" w:eastAsia="Times New Roman" w:hAnsi="Times New Roman"/>
            <w:color w:val="000000"/>
            <w:sz w:val="24"/>
            <w:szCs w:val="24"/>
            <w:rtl w:val="0"/>
          </w:rPr>
          <w:t xml:space="preserve">10.1002/capr.12360</w:t>
        </w:r>
      </w:hyperlink>
      <w:r w:rsidDel="00000000" w:rsidR="00000000" w:rsidRPr="00000000">
        <w:rPr>
          <w:rtl w:val="0"/>
        </w:rPr>
      </w:r>
    </w:p>
    <w:p w:rsidR="00000000" w:rsidDel="00000000" w:rsidP="00000000" w:rsidRDefault="00000000" w:rsidRPr="00000000" w14:paraId="000000DF">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Chang, C., Li, H., Zhang, Y., Du, S., Cao, H., &amp; Zhu, H. (2019). Automated and Personalized Privacy Policy Extraction Under GDPR Consideration. </w:t>
      </w:r>
      <w:r w:rsidDel="00000000" w:rsidR="00000000" w:rsidRPr="00000000">
        <w:rPr>
          <w:rFonts w:ascii="Times New Roman" w:cs="Times New Roman" w:eastAsia="Times New Roman" w:hAnsi="Times New Roman"/>
          <w:i w:val="1"/>
          <w:color w:val="000000"/>
          <w:sz w:val="24"/>
          <w:szCs w:val="24"/>
          <w:rtl w:val="0"/>
        </w:rPr>
        <w:t xml:space="preserve">Wireless Algorithms, Systems, and Applications</w:t>
      </w:r>
      <w:r w:rsidDel="00000000" w:rsidR="00000000" w:rsidRPr="00000000">
        <w:rPr>
          <w:rFonts w:ascii="Times New Roman" w:cs="Times New Roman" w:eastAsia="Times New Roman" w:hAnsi="Times New Roman"/>
          <w:color w:val="000000"/>
          <w:sz w:val="24"/>
          <w:szCs w:val="24"/>
          <w:rtl w:val="0"/>
        </w:rPr>
        <w:t xml:space="preserve">, 43–54. https://doi.org/</w:t>
      </w:r>
      <w:hyperlink r:id="rId13">
        <w:r w:rsidDel="00000000" w:rsidR="00000000" w:rsidRPr="00000000">
          <w:rPr>
            <w:rFonts w:ascii="Times New Roman" w:cs="Times New Roman" w:eastAsia="Times New Roman" w:hAnsi="Times New Roman"/>
            <w:color w:val="000000"/>
            <w:sz w:val="24"/>
            <w:szCs w:val="24"/>
            <w:rtl w:val="0"/>
          </w:rPr>
          <w:t xml:space="preserve">10.1007/978-3-030-23597-0_4</w:t>
        </w:r>
      </w:hyperlink>
      <w:r w:rsidDel="00000000" w:rsidR="00000000" w:rsidRPr="00000000">
        <w:rPr>
          <w:rtl w:val="0"/>
        </w:rPr>
      </w:r>
    </w:p>
    <w:p w:rsidR="00000000" w:rsidDel="00000000" w:rsidP="00000000" w:rsidRDefault="00000000" w:rsidRPr="00000000" w14:paraId="000000E0">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Chang, K.-C., &amp; Barber, S. (2023). Personalized Privacy Assistant: Identity Construction and Privacy in the Internet of Things. </w:t>
      </w:r>
      <w:r w:rsidDel="00000000" w:rsidR="00000000" w:rsidRPr="00000000">
        <w:rPr>
          <w:rFonts w:ascii="Times New Roman" w:cs="Times New Roman" w:eastAsia="Times New Roman" w:hAnsi="Times New Roman"/>
          <w:i w:val="1"/>
          <w:color w:val="000000"/>
          <w:sz w:val="24"/>
          <w:szCs w:val="24"/>
          <w:rtl w:val="0"/>
        </w:rPr>
        <w:t xml:space="preserve">Entropy </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25</w:t>
      </w:r>
      <w:r w:rsidDel="00000000" w:rsidR="00000000" w:rsidRPr="00000000">
        <w:rPr>
          <w:rFonts w:ascii="Times New Roman" w:cs="Times New Roman" w:eastAsia="Times New Roman" w:hAnsi="Times New Roman"/>
          <w:color w:val="000000"/>
          <w:sz w:val="24"/>
          <w:szCs w:val="24"/>
          <w:rtl w:val="0"/>
        </w:rPr>
        <w:t xml:space="preserve">(5). https://doi.org/</w:t>
      </w:r>
      <w:hyperlink r:id="rId14">
        <w:r w:rsidDel="00000000" w:rsidR="00000000" w:rsidRPr="00000000">
          <w:rPr>
            <w:rFonts w:ascii="Times New Roman" w:cs="Times New Roman" w:eastAsia="Times New Roman" w:hAnsi="Times New Roman"/>
            <w:color w:val="000000"/>
            <w:sz w:val="24"/>
            <w:szCs w:val="24"/>
            <w:rtl w:val="0"/>
          </w:rPr>
          <w:t xml:space="preserve">10.3390/e25050717</w:t>
        </w:r>
      </w:hyperlink>
      <w:r w:rsidDel="00000000" w:rsidR="00000000" w:rsidRPr="00000000">
        <w:rPr>
          <w:rtl w:val="0"/>
        </w:rPr>
      </w:r>
    </w:p>
    <w:p w:rsidR="00000000" w:rsidDel="00000000" w:rsidP="00000000" w:rsidRDefault="00000000" w:rsidRPr="00000000" w14:paraId="000000E1">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Chatellier, R., Delcroix, G., Hary, E., &amp; Girard-Chanudet, C. (2019). </w:t>
      </w:r>
      <w:r w:rsidDel="00000000" w:rsidR="00000000" w:rsidRPr="00000000">
        <w:rPr>
          <w:rFonts w:ascii="Times New Roman" w:cs="Times New Roman" w:eastAsia="Times New Roman" w:hAnsi="Times New Roman"/>
          <w:i w:val="1"/>
          <w:color w:val="000000"/>
          <w:sz w:val="24"/>
          <w:szCs w:val="24"/>
          <w:rtl w:val="0"/>
        </w:rPr>
        <w:t xml:space="preserve">Shaping Choices in the Digital World</w:t>
      </w:r>
      <w:r w:rsidDel="00000000" w:rsidR="00000000" w:rsidRPr="00000000">
        <w:rPr>
          <w:rFonts w:ascii="Times New Roman" w:cs="Times New Roman" w:eastAsia="Times New Roman" w:hAnsi="Times New Roman"/>
          <w:color w:val="000000"/>
          <w:sz w:val="24"/>
          <w:szCs w:val="24"/>
          <w:rtl w:val="0"/>
        </w:rPr>
        <w:t xml:space="preserve">. CNIL. https://www.cnil.fr/sites/cnil/files/2023-06/cnil_ip_report_06_shaping_choices_in_the_digital_world.pdf</w:t>
      </w:r>
    </w:p>
    <w:p w:rsidR="00000000" w:rsidDel="00000000" w:rsidP="00000000" w:rsidRDefault="00000000" w:rsidRPr="00000000" w14:paraId="000000E2">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Colnago, J., Feng, Y., Palanivel, T., Pearman, S., Ung, M., Acquisti, A., Cranor, L. F., &amp; Sadeh, N. (2020). Informing the Design of a Personalized Privacy Assistant for the Internet of Things. </w:t>
      </w:r>
      <w:r w:rsidDel="00000000" w:rsidR="00000000" w:rsidRPr="00000000">
        <w:rPr>
          <w:rFonts w:ascii="Times New Roman" w:cs="Times New Roman" w:eastAsia="Times New Roman" w:hAnsi="Times New Roman"/>
          <w:i w:val="1"/>
          <w:color w:val="000000"/>
          <w:sz w:val="24"/>
          <w:szCs w:val="24"/>
          <w:rtl w:val="0"/>
        </w:rPr>
        <w:t xml:space="preserve">Proceedings of the 2020 CHI Conference on Human Factors in Computing Systems</w:t>
      </w:r>
      <w:r w:rsidDel="00000000" w:rsidR="00000000" w:rsidRPr="00000000">
        <w:rPr>
          <w:rFonts w:ascii="Times New Roman" w:cs="Times New Roman" w:eastAsia="Times New Roman" w:hAnsi="Times New Roman"/>
          <w:color w:val="000000"/>
          <w:sz w:val="24"/>
          <w:szCs w:val="24"/>
          <w:rtl w:val="0"/>
        </w:rPr>
        <w:t xml:space="preserve">, 1–13. https://doi.org/</w:t>
      </w:r>
      <w:hyperlink r:id="rId15">
        <w:r w:rsidDel="00000000" w:rsidR="00000000" w:rsidRPr="00000000">
          <w:rPr>
            <w:rFonts w:ascii="Times New Roman" w:cs="Times New Roman" w:eastAsia="Times New Roman" w:hAnsi="Times New Roman"/>
            <w:color w:val="000000"/>
            <w:sz w:val="24"/>
            <w:szCs w:val="24"/>
            <w:rtl w:val="0"/>
          </w:rPr>
          <w:t xml:space="preserve">10.1145/3313831.3376389</w:t>
        </w:r>
      </w:hyperlink>
      <w:r w:rsidDel="00000000" w:rsidR="00000000" w:rsidRPr="00000000">
        <w:rPr>
          <w:rtl w:val="0"/>
        </w:rPr>
      </w:r>
    </w:p>
    <w:p w:rsidR="00000000" w:rsidDel="00000000" w:rsidP="00000000" w:rsidRDefault="00000000" w:rsidRPr="00000000" w14:paraId="000000E3">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Compañó, R., &amp; Lusoli, W. (2010). The policy maker’s anguish: Regulating personal data behavior between paradoxes and dilemmas. In </w:t>
      </w:r>
      <w:r w:rsidDel="00000000" w:rsidR="00000000" w:rsidRPr="00000000">
        <w:rPr>
          <w:rFonts w:ascii="Times New Roman" w:cs="Times New Roman" w:eastAsia="Times New Roman" w:hAnsi="Times New Roman"/>
          <w:i w:val="1"/>
          <w:color w:val="000000"/>
          <w:sz w:val="24"/>
          <w:szCs w:val="24"/>
          <w:rtl w:val="0"/>
        </w:rPr>
        <w:t xml:space="preserve">Economics of Information Security and Privacy</w:t>
      </w:r>
      <w:r w:rsidDel="00000000" w:rsidR="00000000" w:rsidRPr="00000000">
        <w:rPr>
          <w:rFonts w:ascii="Times New Roman" w:cs="Times New Roman" w:eastAsia="Times New Roman" w:hAnsi="Times New Roman"/>
          <w:color w:val="000000"/>
          <w:sz w:val="24"/>
          <w:szCs w:val="24"/>
          <w:rtl w:val="0"/>
        </w:rPr>
        <w:t xml:space="preserve"> (pp. 169–185). Springer US. https://doi.org/</w:t>
      </w:r>
      <w:hyperlink r:id="rId16">
        <w:r w:rsidDel="00000000" w:rsidR="00000000" w:rsidRPr="00000000">
          <w:rPr>
            <w:rFonts w:ascii="Times New Roman" w:cs="Times New Roman" w:eastAsia="Times New Roman" w:hAnsi="Times New Roman"/>
            <w:color w:val="000000"/>
            <w:sz w:val="24"/>
            <w:szCs w:val="24"/>
            <w:rtl w:val="0"/>
          </w:rPr>
          <w:t xml:space="preserve">10.1007/978-1-4419-6967-5_9</w:t>
        </w:r>
      </w:hyperlink>
      <w:r w:rsidDel="00000000" w:rsidR="00000000" w:rsidRPr="00000000">
        <w:rPr>
          <w:rtl w:val="0"/>
        </w:rPr>
      </w:r>
    </w:p>
    <w:p w:rsidR="00000000" w:rsidDel="00000000" w:rsidP="00000000" w:rsidRDefault="00000000" w:rsidRPr="00000000" w14:paraId="000000E4">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Courmont, Antoine, Chatellier, Régis, Biéri, Martin, Casus Ludi, Chronos, </w:t>
      </w:r>
      <w:r w:rsidDel="00000000" w:rsidR="00000000" w:rsidRPr="00000000">
        <w:rPr>
          <w:rFonts w:ascii="Times New Roman" w:cs="Times New Roman" w:eastAsia="Times New Roman" w:hAnsi="Times New Roman"/>
          <w:color w:val="000000"/>
          <w:sz w:val="24"/>
          <w:szCs w:val="24"/>
          <w:rtl w:val="0"/>
        </w:rPr>
        <w:t xml:space="preserve">&amp; Kaplan</w:t>
      </w:r>
      <w:r w:rsidDel="00000000" w:rsidR="00000000" w:rsidRPr="00000000">
        <w:rPr>
          <w:rFonts w:ascii="Times New Roman" w:cs="Times New Roman" w:eastAsia="Times New Roman" w:hAnsi="Times New Roman"/>
          <w:color w:val="000000"/>
          <w:sz w:val="24"/>
          <w:szCs w:val="24"/>
          <w:rtl w:val="0"/>
        </w:rPr>
        <w:t xml:space="preserve">, Daniel. (2021). </w:t>
      </w:r>
      <w:r w:rsidDel="00000000" w:rsidR="00000000" w:rsidRPr="00000000">
        <w:rPr>
          <w:rFonts w:ascii="Times New Roman" w:cs="Times New Roman" w:eastAsia="Times New Roman" w:hAnsi="Times New Roman"/>
          <w:i w:val="1"/>
          <w:color w:val="000000"/>
          <w:sz w:val="24"/>
          <w:szCs w:val="24"/>
          <w:rtl w:val="0"/>
        </w:rPr>
        <w:t xml:space="preserve">Protéger la vie privée en 2030, une exploration prospective et spéculative</w:t>
      </w:r>
      <w:r w:rsidDel="00000000" w:rsidR="00000000" w:rsidRPr="00000000">
        <w:rPr>
          <w:rFonts w:ascii="Times New Roman" w:cs="Times New Roman" w:eastAsia="Times New Roman" w:hAnsi="Times New Roman"/>
          <w:color w:val="000000"/>
          <w:sz w:val="24"/>
          <w:szCs w:val="24"/>
          <w:rtl w:val="0"/>
        </w:rPr>
        <w:t xml:space="preserve">. CNIL-</w:t>
      </w:r>
      <w:r w:rsidDel="00000000" w:rsidR="00000000" w:rsidRPr="00000000">
        <w:rPr>
          <w:rFonts w:ascii="Times New Roman" w:cs="Times New Roman" w:eastAsia="Times New Roman" w:hAnsi="Times New Roman"/>
          <w:color w:val="000000"/>
          <w:sz w:val="24"/>
          <w:szCs w:val="24"/>
          <w:rtl w:val="0"/>
        </w:rPr>
        <w:t xml:space="preserve">LINC</w:t>
      </w:r>
      <w:r w:rsidDel="00000000" w:rsidR="00000000" w:rsidRPr="00000000">
        <w:rPr>
          <w:rFonts w:ascii="Times New Roman" w:cs="Times New Roman" w:eastAsia="Times New Roman" w:hAnsi="Times New Roman"/>
          <w:color w:val="000000"/>
          <w:sz w:val="24"/>
          <w:szCs w:val="24"/>
          <w:rtl w:val="0"/>
        </w:rPr>
        <w:t xml:space="preserve">. </w:t>
      </w:r>
      <w:hyperlink r:id="rId17">
        <w:r w:rsidDel="00000000" w:rsidR="00000000" w:rsidRPr="00000000">
          <w:rPr>
            <w:rFonts w:ascii="Times New Roman" w:cs="Times New Roman" w:eastAsia="Times New Roman" w:hAnsi="Times New Roman"/>
            <w:color w:val="000000"/>
            <w:sz w:val="24"/>
            <w:szCs w:val="24"/>
            <w:rtl w:val="0"/>
          </w:rPr>
          <w:t xml:space="preserve">https://linc.cnil.fr/proteger-la-vie-privee-en-2030-une-exploration-prospective-et-speculative</w:t>
        </w:r>
      </w:hyperlink>
      <w:r w:rsidDel="00000000" w:rsidR="00000000" w:rsidRPr="00000000">
        <w:rPr>
          <w:rtl w:val="0"/>
        </w:rPr>
      </w:r>
    </w:p>
    <w:p w:rsidR="00000000" w:rsidDel="00000000" w:rsidP="00000000" w:rsidRDefault="00000000" w:rsidRPr="00000000" w14:paraId="000000E5">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D’Amico, A. S., Pelekis, D., Santos, C., &amp; Duivenvoorde, B. (2024). Meta’s pay-or-okay model: An analysis under EU data protection, consumer, and competition law. </w:t>
      </w:r>
      <w:r w:rsidDel="00000000" w:rsidR="00000000" w:rsidRPr="00000000">
        <w:rPr>
          <w:rFonts w:ascii="Times New Roman" w:cs="Times New Roman" w:eastAsia="Times New Roman" w:hAnsi="Times New Roman"/>
          <w:i w:val="1"/>
          <w:color w:val="000000"/>
          <w:sz w:val="24"/>
          <w:szCs w:val="24"/>
          <w:rtl w:val="0"/>
        </w:rPr>
        <w:t xml:space="preserve">Utrecht University School of Law Research Paper Forthcoming</w:t>
      </w:r>
      <w:r w:rsidDel="00000000" w:rsidR="00000000" w:rsidRPr="00000000">
        <w:rPr>
          <w:rFonts w:ascii="Times New Roman" w:cs="Times New Roman" w:eastAsia="Times New Roman" w:hAnsi="Times New Roman"/>
          <w:color w:val="000000"/>
          <w:sz w:val="24"/>
          <w:szCs w:val="24"/>
          <w:rtl w:val="0"/>
        </w:rPr>
        <w:t xml:space="preserve">. https://doi.org/</w:t>
      </w:r>
      <w:hyperlink r:id="rId18">
        <w:r w:rsidDel="00000000" w:rsidR="00000000" w:rsidRPr="00000000">
          <w:rPr>
            <w:rFonts w:ascii="Times New Roman" w:cs="Times New Roman" w:eastAsia="Times New Roman" w:hAnsi="Times New Roman"/>
            <w:color w:val="000000"/>
            <w:sz w:val="24"/>
            <w:szCs w:val="24"/>
            <w:rtl w:val="0"/>
          </w:rPr>
          <w:t xml:space="preserve">10.2139/ssrn.4787609</w:t>
        </w:r>
      </w:hyperlink>
      <w:r w:rsidDel="00000000" w:rsidR="00000000" w:rsidRPr="00000000">
        <w:rPr>
          <w:rtl w:val="0"/>
        </w:rPr>
      </w:r>
    </w:p>
    <w:p w:rsidR="00000000" w:rsidDel="00000000" w:rsidP="00000000" w:rsidRDefault="00000000" w:rsidRPr="00000000" w14:paraId="000000E6">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Dammu, P. P. S., Chalamala, S. R., &amp; Singh, A. K. (2021). Explainable and Personalized Privacy Prediction. </w:t>
      </w:r>
      <w:r w:rsidDel="00000000" w:rsidR="00000000" w:rsidRPr="00000000">
        <w:rPr>
          <w:rFonts w:ascii="Times New Roman" w:cs="Times New Roman" w:eastAsia="Times New Roman" w:hAnsi="Times New Roman"/>
          <w:i w:val="1"/>
          <w:color w:val="000000"/>
          <w:sz w:val="24"/>
          <w:szCs w:val="24"/>
          <w:rtl w:val="0"/>
        </w:rPr>
        <w:t xml:space="preserve">CIKM Workshops</w:t>
      </w:r>
      <w:r w:rsidDel="00000000" w:rsidR="00000000" w:rsidRPr="00000000">
        <w:rPr>
          <w:rFonts w:ascii="Times New Roman" w:cs="Times New Roman" w:eastAsia="Times New Roman" w:hAnsi="Times New Roman"/>
          <w:color w:val="000000"/>
          <w:sz w:val="24"/>
          <w:szCs w:val="24"/>
          <w:rtl w:val="0"/>
        </w:rPr>
        <w:t xml:space="preserve">. </w:t>
      </w:r>
      <w:hyperlink r:id="rId19">
        <w:r w:rsidDel="00000000" w:rsidR="00000000" w:rsidRPr="00000000">
          <w:rPr>
            <w:rFonts w:ascii="Times New Roman" w:cs="Times New Roman" w:eastAsia="Times New Roman" w:hAnsi="Times New Roman"/>
            <w:color w:val="000000"/>
            <w:sz w:val="24"/>
            <w:szCs w:val="24"/>
            <w:rtl w:val="0"/>
          </w:rPr>
          <w:t xml:space="preserve">https://www.researchgate.net/profile/Preetam-Dammu/publication/368245575_Explainable_and_Personalized_Privacy_Prediction/links/63dddd30c97bd76a8263f45d/Explainable-and-Personalized-Privacy-Prediction.pdf</w:t>
        </w:r>
      </w:hyperlink>
      <w:r w:rsidDel="00000000" w:rsidR="00000000" w:rsidRPr="00000000">
        <w:rPr>
          <w:rtl w:val="0"/>
        </w:rPr>
      </w:r>
    </w:p>
    <w:p w:rsidR="00000000" w:rsidDel="00000000" w:rsidP="00000000" w:rsidRDefault="00000000" w:rsidRPr="00000000" w14:paraId="000000E7">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Das, A., Degeling, M., Smullen, D., &amp; Sadeh, N. (2018). Personalized Privacy Assistants for the Internet of Things: Providing Users with Notice and Choice. </w:t>
      </w:r>
      <w:r w:rsidDel="00000000" w:rsidR="00000000" w:rsidRPr="00000000">
        <w:rPr>
          <w:rFonts w:ascii="Times New Roman" w:cs="Times New Roman" w:eastAsia="Times New Roman" w:hAnsi="Times New Roman"/>
          <w:i w:val="1"/>
          <w:color w:val="000000"/>
          <w:sz w:val="24"/>
          <w:szCs w:val="24"/>
          <w:rtl w:val="0"/>
        </w:rPr>
        <w:t xml:space="preserve">IEEE Pervasive Computing / IEEE Computer Society [and] IEEE Communications Society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17</w:t>
      </w:r>
      <w:r w:rsidDel="00000000" w:rsidR="00000000" w:rsidRPr="00000000">
        <w:rPr>
          <w:rFonts w:ascii="Times New Roman" w:cs="Times New Roman" w:eastAsia="Times New Roman" w:hAnsi="Times New Roman"/>
          <w:color w:val="000000"/>
          <w:sz w:val="24"/>
          <w:szCs w:val="24"/>
          <w:rtl w:val="0"/>
        </w:rPr>
        <w:t xml:space="preserve">(3), 35–46. https://doi.org/</w:t>
      </w:r>
      <w:hyperlink r:id="rId20">
        <w:r w:rsidDel="00000000" w:rsidR="00000000" w:rsidRPr="00000000">
          <w:rPr>
            <w:rFonts w:ascii="Times New Roman" w:cs="Times New Roman" w:eastAsia="Times New Roman" w:hAnsi="Times New Roman"/>
            <w:color w:val="000000"/>
            <w:sz w:val="24"/>
            <w:szCs w:val="24"/>
            <w:rtl w:val="0"/>
          </w:rPr>
          <w:t xml:space="preserve">10.1109/MPRV.2018.03367733</w:t>
        </w:r>
      </w:hyperlink>
      <w:r w:rsidDel="00000000" w:rsidR="00000000" w:rsidRPr="00000000">
        <w:rPr>
          <w:rtl w:val="0"/>
        </w:rPr>
      </w:r>
    </w:p>
    <w:p w:rsidR="00000000" w:rsidDel="00000000" w:rsidP="00000000" w:rsidRDefault="00000000" w:rsidRPr="00000000" w14:paraId="000000E8">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i w:val="1"/>
          <w:color w:val="000000"/>
          <w:sz w:val="24"/>
          <w:szCs w:val="24"/>
          <w:rtl w:val="0"/>
        </w:rPr>
        <w:t xml:space="preserve">Data Privacy Vocabulary (DPV)</w:t>
      </w:r>
      <w:r w:rsidDel="00000000" w:rsidR="00000000" w:rsidRPr="00000000">
        <w:rPr>
          <w:rFonts w:ascii="Times New Roman" w:cs="Times New Roman" w:eastAsia="Times New Roman" w:hAnsi="Times New Roman"/>
          <w:color w:val="000000"/>
          <w:sz w:val="24"/>
          <w:szCs w:val="24"/>
          <w:rtl w:val="0"/>
        </w:rPr>
        <w:t xml:space="preserve">. Retrieved October 1, 2024, from </w:t>
      </w:r>
      <w:hyperlink r:id="rId21">
        <w:r w:rsidDel="00000000" w:rsidR="00000000" w:rsidRPr="00000000">
          <w:rPr>
            <w:rFonts w:ascii="Times New Roman" w:cs="Times New Roman" w:eastAsia="Times New Roman" w:hAnsi="Times New Roman"/>
            <w:color w:val="000000"/>
            <w:sz w:val="24"/>
            <w:szCs w:val="24"/>
            <w:rtl w:val="0"/>
          </w:rPr>
          <w:t xml:space="preserve">https://w3c.github.io/dpv/2.0/dpv/</w:t>
        </w:r>
      </w:hyperlink>
      <w:r w:rsidDel="00000000" w:rsidR="00000000" w:rsidRPr="00000000">
        <w:rPr>
          <w:rtl w:val="0"/>
        </w:rPr>
      </w:r>
    </w:p>
    <w:p w:rsidR="00000000" w:rsidDel="00000000" w:rsidP="00000000" w:rsidRDefault="00000000" w:rsidRPr="00000000" w14:paraId="000000E9">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Ding, X., &amp; Huang, H. (2024). For whom </w:t>
      </w:r>
      <w:r w:rsidDel="00000000" w:rsidR="00000000" w:rsidRPr="00000000">
        <w:rPr>
          <w:rFonts w:ascii="Times New Roman" w:cs="Times New Roman" w:eastAsia="Times New Roman" w:hAnsi="Times New Roman"/>
          <w:color w:val="000000"/>
          <w:sz w:val="24"/>
          <w:szCs w:val="24"/>
          <w:rtl w:val="0"/>
        </w:rPr>
        <w:t xml:space="preserve">is privacy</w:t>
      </w:r>
      <w:r w:rsidDel="00000000" w:rsidR="00000000" w:rsidRPr="00000000">
        <w:rPr>
          <w:rFonts w:ascii="Times New Roman" w:cs="Times New Roman" w:eastAsia="Times New Roman" w:hAnsi="Times New Roman"/>
          <w:color w:val="000000"/>
          <w:sz w:val="24"/>
          <w:szCs w:val="24"/>
          <w:rtl w:val="0"/>
        </w:rPr>
        <w:t xml:space="preserve"> policy written? A new understanding of privacy policies. </w:t>
      </w:r>
      <w:r w:rsidDel="00000000" w:rsidR="00000000" w:rsidRPr="00000000">
        <w:rPr>
          <w:rFonts w:ascii="Times New Roman" w:cs="Times New Roman" w:eastAsia="Times New Roman" w:hAnsi="Times New Roman"/>
          <w:i w:val="1"/>
          <w:color w:val="000000"/>
          <w:sz w:val="24"/>
          <w:szCs w:val="24"/>
          <w:rtl w:val="0"/>
        </w:rPr>
        <w:t xml:space="preserve">Computer Law and Security Report</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55</w:t>
      </w:r>
      <w:r w:rsidDel="00000000" w:rsidR="00000000" w:rsidRPr="00000000">
        <w:rPr>
          <w:rFonts w:ascii="Times New Roman" w:cs="Times New Roman" w:eastAsia="Times New Roman" w:hAnsi="Times New Roman"/>
          <w:color w:val="000000"/>
          <w:sz w:val="24"/>
          <w:szCs w:val="24"/>
          <w:rtl w:val="0"/>
        </w:rPr>
        <w:t xml:space="preserve">(106072), 106072. https://doi.org/</w:t>
      </w:r>
      <w:hyperlink r:id="rId22">
        <w:r w:rsidDel="00000000" w:rsidR="00000000" w:rsidRPr="00000000">
          <w:rPr>
            <w:rFonts w:ascii="Times New Roman" w:cs="Times New Roman" w:eastAsia="Times New Roman" w:hAnsi="Times New Roman"/>
            <w:color w:val="000000"/>
            <w:sz w:val="24"/>
            <w:szCs w:val="24"/>
            <w:rtl w:val="0"/>
          </w:rPr>
          <w:t xml:space="preserve">10.1016/j.clsr.2024.106072</w:t>
        </w:r>
      </w:hyperlink>
      <w:r w:rsidDel="00000000" w:rsidR="00000000" w:rsidRPr="00000000">
        <w:rPr>
          <w:rtl w:val="0"/>
        </w:rPr>
      </w:r>
    </w:p>
    <w:p w:rsidR="00000000" w:rsidDel="00000000" w:rsidP="00000000" w:rsidRDefault="00000000" w:rsidRPr="00000000" w14:paraId="000000EA">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Doan, X., Rossi, A., Botes, M., &amp; Selzer, A. (2024). Comparing Attitudes Toward Different Consent Mediums: Semistructured Qualitative Study. </w:t>
      </w:r>
      <w:r w:rsidDel="00000000" w:rsidR="00000000" w:rsidRPr="00000000">
        <w:rPr>
          <w:rFonts w:ascii="Times New Roman" w:cs="Times New Roman" w:eastAsia="Times New Roman" w:hAnsi="Times New Roman"/>
          <w:i w:val="1"/>
          <w:color w:val="000000"/>
          <w:sz w:val="24"/>
          <w:szCs w:val="24"/>
          <w:rtl w:val="0"/>
        </w:rPr>
        <w:t xml:space="preserve">JMIR Human Factors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11</w:t>
      </w:r>
      <w:r w:rsidDel="00000000" w:rsidR="00000000" w:rsidRPr="00000000">
        <w:rPr>
          <w:rFonts w:ascii="Times New Roman" w:cs="Times New Roman" w:eastAsia="Times New Roman" w:hAnsi="Times New Roman"/>
          <w:color w:val="000000"/>
          <w:sz w:val="24"/>
          <w:szCs w:val="24"/>
          <w:rtl w:val="0"/>
        </w:rPr>
        <w:t xml:space="preserve">, e53113. https://doi.org/</w:t>
      </w:r>
      <w:hyperlink r:id="rId23">
        <w:r w:rsidDel="00000000" w:rsidR="00000000" w:rsidRPr="00000000">
          <w:rPr>
            <w:rFonts w:ascii="Times New Roman" w:cs="Times New Roman" w:eastAsia="Times New Roman" w:hAnsi="Times New Roman"/>
            <w:color w:val="000000"/>
            <w:sz w:val="24"/>
            <w:szCs w:val="24"/>
            <w:rtl w:val="0"/>
          </w:rPr>
          <w:t xml:space="preserve">10.2196/53113</w:t>
        </w:r>
      </w:hyperlink>
      <w:r w:rsidDel="00000000" w:rsidR="00000000" w:rsidRPr="00000000">
        <w:rPr>
          <w:rtl w:val="0"/>
        </w:rPr>
      </w:r>
    </w:p>
    <w:p w:rsidR="00000000" w:rsidDel="00000000" w:rsidP="00000000" w:rsidRDefault="00000000" w:rsidRPr="00000000" w14:paraId="000000EB">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Eaves, D., Bolte, L., Chuquihuara Gozalo, O., &amp; Hodigere Raghavendra, S. (2022). Best practices for the governance of Digital Public Goods. </w:t>
      </w:r>
      <w:r w:rsidDel="00000000" w:rsidR="00000000" w:rsidRPr="00000000">
        <w:rPr>
          <w:rFonts w:ascii="Times New Roman" w:cs="Times New Roman" w:eastAsia="Times New Roman" w:hAnsi="Times New Roman"/>
          <w:i w:val="1"/>
          <w:color w:val="000000"/>
          <w:sz w:val="24"/>
          <w:szCs w:val="24"/>
          <w:rtl w:val="0"/>
        </w:rPr>
        <w:t xml:space="preserve">Ash Center Policy Briefs Series</w:t>
      </w:r>
      <w:r w:rsidDel="00000000" w:rsidR="00000000" w:rsidRPr="00000000">
        <w:rPr>
          <w:rFonts w:ascii="Times New Roman" w:cs="Times New Roman" w:eastAsia="Times New Roman" w:hAnsi="Times New Roman"/>
          <w:color w:val="000000"/>
          <w:sz w:val="24"/>
          <w:szCs w:val="24"/>
          <w:rtl w:val="0"/>
        </w:rPr>
        <w:t xml:space="preserve">. </w:t>
      </w:r>
      <w:hyperlink r:id="rId24">
        <w:r w:rsidDel="00000000" w:rsidR="00000000" w:rsidRPr="00000000">
          <w:rPr>
            <w:rFonts w:ascii="Times New Roman" w:cs="Times New Roman" w:eastAsia="Times New Roman" w:hAnsi="Times New Roman"/>
            <w:color w:val="000000"/>
            <w:sz w:val="24"/>
            <w:szCs w:val="24"/>
            <w:rtl w:val="0"/>
          </w:rPr>
          <w:t xml:space="preserve">https://dash.harvard.edu/handle/1/37371416</w:t>
        </w:r>
      </w:hyperlink>
      <w:r w:rsidDel="00000000" w:rsidR="00000000" w:rsidRPr="00000000">
        <w:rPr>
          <w:rtl w:val="0"/>
        </w:rPr>
      </w:r>
    </w:p>
    <w:p w:rsidR="00000000" w:rsidDel="00000000" w:rsidP="00000000" w:rsidRDefault="00000000" w:rsidRPr="00000000" w14:paraId="000000EC">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European Commission: Joint Research Centre, Lähteenoja, V. , Leonard, M. , &amp; Langford, J. (2024). </w:t>
      </w:r>
      <w:r w:rsidDel="00000000" w:rsidR="00000000" w:rsidRPr="00000000">
        <w:rPr>
          <w:rFonts w:ascii="Times New Roman" w:cs="Times New Roman" w:eastAsia="Times New Roman" w:hAnsi="Times New Roman"/>
          <w:i w:val="1"/>
          <w:color w:val="000000"/>
          <w:sz w:val="24"/>
          <w:szCs w:val="24"/>
          <w:rtl w:val="0"/>
        </w:rPr>
        <w:t xml:space="preserve">Personal data spaces: workshop series : summary report</w:t>
      </w:r>
      <w:r w:rsidDel="00000000" w:rsidR="00000000" w:rsidRPr="00000000">
        <w:rPr>
          <w:rFonts w:ascii="Times New Roman" w:cs="Times New Roman" w:eastAsia="Times New Roman" w:hAnsi="Times New Roman"/>
          <w:color w:val="000000"/>
          <w:sz w:val="24"/>
          <w:szCs w:val="24"/>
          <w:rtl w:val="0"/>
        </w:rPr>
        <w:t xml:space="preserve">. </w:t>
      </w:r>
      <w:hyperlink r:id="rId25">
        <w:r w:rsidDel="00000000" w:rsidR="00000000" w:rsidRPr="00000000">
          <w:rPr>
            <w:rFonts w:ascii="Times New Roman" w:cs="Times New Roman" w:eastAsia="Times New Roman" w:hAnsi="Times New Roman"/>
            <w:color w:val="000000"/>
            <w:sz w:val="24"/>
            <w:szCs w:val="24"/>
            <w:rtl w:val="0"/>
          </w:rPr>
          <w:t xml:space="preserve">https://data.europa.eu/doi/10.2760/748099</w:t>
        </w:r>
      </w:hyperlink>
      <w:r w:rsidDel="00000000" w:rsidR="00000000" w:rsidRPr="00000000">
        <w:rPr>
          <w:rtl w:val="0"/>
        </w:rPr>
      </w:r>
    </w:p>
    <w:p w:rsidR="00000000" w:rsidDel="00000000" w:rsidP="00000000" w:rsidRDefault="00000000" w:rsidRPr="00000000" w14:paraId="000000ED">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European Data Protection Board. (2019). </w:t>
      </w:r>
      <w:r w:rsidDel="00000000" w:rsidR="00000000" w:rsidRPr="00000000">
        <w:rPr>
          <w:rFonts w:ascii="Times New Roman" w:cs="Times New Roman" w:eastAsia="Times New Roman" w:hAnsi="Times New Roman"/>
          <w:i w:val="1"/>
          <w:color w:val="000000"/>
          <w:sz w:val="24"/>
          <w:szCs w:val="24"/>
          <w:rtl w:val="0"/>
        </w:rPr>
        <w:t xml:space="preserve">Guidelines 4/2019 on Article 25 Data Protection by Design and by Default</w:t>
      </w:r>
      <w:r w:rsidDel="00000000" w:rsidR="00000000" w:rsidRPr="00000000">
        <w:rPr>
          <w:rFonts w:ascii="Times New Roman" w:cs="Times New Roman" w:eastAsia="Times New Roman" w:hAnsi="Times New Roman"/>
          <w:color w:val="000000"/>
          <w:sz w:val="24"/>
          <w:szCs w:val="24"/>
          <w:rtl w:val="0"/>
        </w:rPr>
        <w:t xml:space="preserve">. </w:t>
      </w:r>
      <w:hyperlink r:id="rId26">
        <w:r w:rsidDel="00000000" w:rsidR="00000000" w:rsidRPr="00000000">
          <w:rPr>
            <w:rFonts w:ascii="Times New Roman" w:cs="Times New Roman" w:eastAsia="Times New Roman" w:hAnsi="Times New Roman"/>
            <w:color w:val="000000"/>
            <w:sz w:val="24"/>
            <w:szCs w:val="24"/>
            <w:rtl w:val="0"/>
          </w:rPr>
          <w:t xml:space="preserve">https://edpb.europa.eu/sites/edpb/files/consultation/edpb_guidelines_201904_dataprotection_by_design_and_by_default.pdf</w:t>
        </w:r>
      </w:hyperlink>
      <w:r w:rsidDel="00000000" w:rsidR="00000000" w:rsidRPr="00000000">
        <w:rPr>
          <w:rtl w:val="0"/>
        </w:rPr>
      </w:r>
    </w:p>
    <w:p w:rsidR="00000000" w:rsidDel="00000000" w:rsidP="00000000" w:rsidRDefault="00000000" w:rsidRPr="00000000" w14:paraId="000000EE">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Fairfield, J., &amp; Engel, C. (2015). Privacy as a Public Good. </w:t>
      </w:r>
      <w:r w:rsidDel="00000000" w:rsidR="00000000" w:rsidRPr="00000000">
        <w:rPr>
          <w:rFonts w:ascii="Times New Roman" w:cs="Times New Roman" w:eastAsia="Times New Roman" w:hAnsi="Times New Roman"/>
          <w:i w:val="1"/>
          <w:color w:val="000000"/>
          <w:sz w:val="24"/>
          <w:szCs w:val="24"/>
          <w:rtl w:val="0"/>
        </w:rPr>
        <w:t xml:space="preserve">Duke Law Journal</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65</w:t>
      </w:r>
      <w:r w:rsidDel="00000000" w:rsidR="00000000" w:rsidRPr="00000000">
        <w:rPr>
          <w:rFonts w:ascii="Times New Roman" w:cs="Times New Roman" w:eastAsia="Times New Roman" w:hAnsi="Times New Roman"/>
          <w:color w:val="000000"/>
          <w:sz w:val="24"/>
          <w:szCs w:val="24"/>
          <w:rtl w:val="0"/>
        </w:rPr>
        <w:t xml:space="preserve">, 385–457. https://doi.org/</w:t>
      </w:r>
      <w:hyperlink r:id="rId27">
        <w:r w:rsidDel="00000000" w:rsidR="00000000" w:rsidRPr="00000000">
          <w:rPr>
            <w:rFonts w:ascii="Times New Roman" w:cs="Times New Roman" w:eastAsia="Times New Roman" w:hAnsi="Times New Roman"/>
            <w:color w:val="000000"/>
            <w:sz w:val="24"/>
            <w:szCs w:val="24"/>
            <w:rtl w:val="0"/>
          </w:rPr>
          <w:t xml:space="preserve">10.1017/cbo9781316658888.004</w:t>
        </w:r>
      </w:hyperlink>
      <w:r w:rsidDel="00000000" w:rsidR="00000000" w:rsidRPr="00000000">
        <w:rPr>
          <w:rtl w:val="0"/>
        </w:rPr>
      </w:r>
    </w:p>
    <w:p w:rsidR="00000000" w:rsidDel="00000000" w:rsidP="00000000" w:rsidRDefault="00000000" w:rsidRPr="00000000" w14:paraId="000000EF">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Ferreira, D., Kostakos, V., Beresford, A. R., Lindqvist, J., &amp; Dey, A. K. (2015). Securacy: an empirical investigation of Android applications’ network usage, privacy and security. </w:t>
      </w:r>
      <w:r w:rsidDel="00000000" w:rsidR="00000000" w:rsidRPr="00000000">
        <w:rPr>
          <w:rFonts w:ascii="Times New Roman" w:cs="Times New Roman" w:eastAsia="Times New Roman" w:hAnsi="Times New Roman"/>
          <w:i w:val="1"/>
          <w:color w:val="000000"/>
          <w:sz w:val="24"/>
          <w:szCs w:val="24"/>
          <w:rtl w:val="0"/>
        </w:rPr>
        <w:t xml:space="preserve">Proceedings of the 8th ACM Conference on Security &amp; Privacy in Wireless and Mobile Networks</w:t>
      </w:r>
      <w:r w:rsidDel="00000000" w:rsidR="00000000" w:rsidRPr="00000000">
        <w:rPr>
          <w:rFonts w:ascii="Times New Roman" w:cs="Times New Roman" w:eastAsia="Times New Roman" w:hAnsi="Times New Roman"/>
          <w:color w:val="000000"/>
          <w:sz w:val="24"/>
          <w:szCs w:val="24"/>
          <w:rtl w:val="0"/>
        </w:rPr>
        <w:t xml:space="preserve">, Article Article 11. https://doi.org/</w:t>
      </w:r>
      <w:hyperlink r:id="rId28">
        <w:r w:rsidDel="00000000" w:rsidR="00000000" w:rsidRPr="00000000">
          <w:rPr>
            <w:rFonts w:ascii="Times New Roman" w:cs="Times New Roman" w:eastAsia="Times New Roman" w:hAnsi="Times New Roman"/>
            <w:color w:val="000000"/>
            <w:sz w:val="24"/>
            <w:szCs w:val="24"/>
            <w:rtl w:val="0"/>
          </w:rPr>
          <w:t xml:space="preserve">10.1145/2766498.2766506</w:t>
        </w:r>
      </w:hyperlink>
      <w:r w:rsidDel="00000000" w:rsidR="00000000" w:rsidRPr="00000000">
        <w:rPr>
          <w:rtl w:val="0"/>
        </w:rPr>
      </w:r>
    </w:p>
    <w:p w:rsidR="00000000" w:rsidDel="00000000" w:rsidP="00000000" w:rsidRDefault="00000000" w:rsidRPr="00000000" w14:paraId="000000F0">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Furnell, S., &amp; Phippen, A. (2012). Online privacy: a matter of policy? </w:t>
      </w:r>
      <w:r w:rsidDel="00000000" w:rsidR="00000000" w:rsidRPr="00000000">
        <w:rPr>
          <w:rFonts w:ascii="Times New Roman" w:cs="Times New Roman" w:eastAsia="Times New Roman" w:hAnsi="Times New Roman"/>
          <w:i w:val="1"/>
          <w:color w:val="000000"/>
          <w:sz w:val="24"/>
          <w:szCs w:val="24"/>
          <w:rtl w:val="0"/>
        </w:rPr>
        <w:t xml:space="preserve">Computer Fraud &amp; Security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2012</w:t>
      </w:r>
      <w:r w:rsidDel="00000000" w:rsidR="00000000" w:rsidRPr="00000000">
        <w:rPr>
          <w:rFonts w:ascii="Times New Roman" w:cs="Times New Roman" w:eastAsia="Times New Roman" w:hAnsi="Times New Roman"/>
          <w:color w:val="000000"/>
          <w:sz w:val="24"/>
          <w:szCs w:val="24"/>
          <w:rtl w:val="0"/>
        </w:rPr>
        <w:t xml:space="preserve">(8), 12–18. https://doi.org/</w:t>
      </w:r>
      <w:hyperlink r:id="rId29">
        <w:r w:rsidDel="00000000" w:rsidR="00000000" w:rsidRPr="00000000">
          <w:rPr>
            <w:rFonts w:ascii="Times New Roman" w:cs="Times New Roman" w:eastAsia="Times New Roman" w:hAnsi="Times New Roman"/>
            <w:color w:val="000000"/>
            <w:sz w:val="24"/>
            <w:szCs w:val="24"/>
            <w:rtl w:val="0"/>
          </w:rPr>
          <w:t xml:space="preserve">10.1016/S1361-3723(12)70083-0</w:t>
        </w:r>
      </w:hyperlink>
      <w:r w:rsidDel="00000000" w:rsidR="00000000" w:rsidRPr="00000000">
        <w:rPr>
          <w:rtl w:val="0"/>
        </w:rPr>
      </w:r>
    </w:p>
    <w:p w:rsidR="00000000" w:rsidDel="00000000" w:rsidP="00000000" w:rsidRDefault="00000000" w:rsidRPr="00000000" w14:paraId="000000F1">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Garratt, R. J., &amp; van Oordt, M. R. C. (2021). Privacy as a public good: A case for electronic cash. </w:t>
      </w:r>
      <w:r w:rsidDel="00000000" w:rsidR="00000000" w:rsidRPr="00000000">
        <w:rPr>
          <w:rFonts w:ascii="Times New Roman" w:cs="Times New Roman" w:eastAsia="Times New Roman" w:hAnsi="Times New Roman"/>
          <w:i w:val="1"/>
          <w:color w:val="000000"/>
          <w:sz w:val="24"/>
          <w:szCs w:val="24"/>
          <w:rtl w:val="0"/>
        </w:rPr>
        <w:t xml:space="preserve">The Journal of Political Economy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129</w:t>
      </w:r>
      <w:r w:rsidDel="00000000" w:rsidR="00000000" w:rsidRPr="00000000">
        <w:rPr>
          <w:rFonts w:ascii="Times New Roman" w:cs="Times New Roman" w:eastAsia="Times New Roman" w:hAnsi="Times New Roman"/>
          <w:color w:val="000000"/>
          <w:sz w:val="24"/>
          <w:szCs w:val="24"/>
          <w:rtl w:val="0"/>
        </w:rPr>
        <w:t xml:space="preserve">(7), 2157–2180. https://doi.org/</w:t>
      </w:r>
      <w:hyperlink r:id="rId30">
        <w:r w:rsidDel="00000000" w:rsidR="00000000" w:rsidRPr="00000000">
          <w:rPr>
            <w:rFonts w:ascii="Times New Roman" w:cs="Times New Roman" w:eastAsia="Times New Roman" w:hAnsi="Times New Roman"/>
            <w:color w:val="000000"/>
            <w:sz w:val="24"/>
            <w:szCs w:val="24"/>
            <w:rtl w:val="0"/>
          </w:rPr>
          <w:t xml:space="preserve">10.1086/714133</w:t>
        </w:r>
      </w:hyperlink>
      <w:r w:rsidDel="00000000" w:rsidR="00000000" w:rsidRPr="00000000">
        <w:rPr>
          <w:rtl w:val="0"/>
        </w:rPr>
      </w:r>
    </w:p>
    <w:p w:rsidR="00000000" w:rsidDel="00000000" w:rsidP="00000000" w:rsidRDefault="00000000" w:rsidRPr="00000000" w14:paraId="000000F2">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H</w:t>
      </w:r>
      <w:r w:rsidDel="00000000" w:rsidR="00000000" w:rsidRPr="00000000">
        <w:rPr>
          <w:rFonts w:ascii="Times New Roman" w:cs="Times New Roman" w:eastAsia="Times New Roman" w:hAnsi="Times New Roman"/>
          <w:sz w:val="24"/>
          <w:szCs w:val="24"/>
          <w:rtl w:val="0"/>
        </w:rPr>
        <w:t xml:space="preserve">LEG</w:t>
      </w:r>
      <w:r w:rsidDel="00000000" w:rsidR="00000000" w:rsidRPr="00000000">
        <w:rPr>
          <w:rFonts w:ascii="Times New Roman" w:cs="Times New Roman" w:eastAsia="Times New Roman" w:hAnsi="Times New Roman"/>
          <w:color w:val="000000"/>
          <w:sz w:val="24"/>
          <w:szCs w:val="24"/>
          <w:rtl w:val="0"/>
        </w:rPr>
        <w:t xml:space="preserve">, A. I. (2019). High-level expert group on artificial intelligence. In </w:t>
      </w:r>
      <w:r w:rsidDel="00000000" w:rsidR="00000000" w:rsidRPr="00000000">
        <w:rPr>
          <w:rFonts w:ascii="Times New Roman" w:cs="Times New Roman" w:eastAsia="Times New Roman" w:hAnsi="Times New Roman"/>
          <w:i w:val="1"/>
          <w:color w:val="000000"/>
          <w:sz w:val="24"/>
          <w:szCs w:val="24"/>
          <w:rtl w:val="0"/>
        </w:rPr>
        <w:t xml:space="preserve">Ethics guidelines for trustworthy AI</w:t>
      </w:r>
      <w:r w:rsidDel="00000000" w:rsidR="00000000" w:rsidRPr="00000000">
        <w:rPr>
          <w:rFonts w:ascii="Times New Roman" w:cs="Times New Roman" w:eastAsia="Times New Roman" w:hAnsi="Times New Roman"/>
          <w:color w:val="000000"/>
          <w:sz w:val="24"/>
          <w:szCs w:val="24"/>
          <w:rtl w:val="0"/>
        </w:rPr>
        <w:t xml:space="preserve"> (Vol. 6). European Commission. Available at: https:</w:t>
      </w:r>
      <w:r w:rsidDel="00000000" w:rsidR="00000000" w:rsidRPr="00000000">
        <w:rPr>
          <w:rFonts w:ascii="Times New Roman" w:cs="Times New Roman" w:eastAsia="Times New Roman" w:hAnsi="Times New Roman"/>
          <w:sz w:val="24"/>
          <w:szCs w:val="24"/>
          <w:rtl w:val="0"/>
        </w:rPr>
        <w:t xml:space="preserve">https://www.aepd.es/sites/default/files/2019-09/ai-definition.pdf</w:t>
      </w:r>
      <w:r w:rsidDel="00000000" w:rsidR="00000000" w:rsidRPr="00000000">
        <w:rPr>
          <w:rtl w:val="0"/>
        </w:rPr>
      </w:r>
    </w:p>
    <w:p w:rsidR="00000000" w:rsidDel="00000000" w:rsidP="00000000" w:rsidRDefault="00000000" w:rsidRPr="00000000" w14:paraId="000000F3">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Holmberg, J., &amp; Robert, K.-H. (2000). Backcasting — a framework for strategic planning. </w:t>
      </w:r>
      <w:r w:rsidDel="00000000" w:rsidR="00000000" w:rsidRPr="00000000">
        <w:rPr>
          <w:rFonts w:ascii="Times New Roman" w:cs="Times New Roman" w:eastAsia="Times New Roman" w:hAnsi="Times New Roman"/>
          <w:i w:val="1"/>
          <w:color w:val="000000"/>
          <w:sz w:val="24"/>
          <w:szCs w:val="24"/>
          <w:rtl w:val="0"/>
        </w:rPr>
        <w:t xml:space="preserve">International Journal of Sustainable Development and World Ecology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7</w:t>
      </w:r>
      <w:r w:rsidDel="00000000" w:rsidR="00000000" w:rsidRPr="00000000">
        <w:rPr>
          <w:rFonts w:ascii="Times New Roman" w:cs="Times New Roman" w:eastAsia="Times New Roman" w:hAnsi="Times New Roman"/>
          <w:color w:val="000000"/>
          <w:sz w:val="24"/>
          <w:szCs w:val="24"/>
          <w:rtl w:val="0"/>
        </w:rPr>
        <w:t xml:space="preserve">(4), 291–308. https://doi.org/</w:t>
      </w:r>
      <w:hyperlink r:id="rId31">
        <w:r w:rsidDel="00000000" w:rsidR="00000000" w:rsidRPr="00000000">
          <w:rPr>
            <w:rFonts w:ascii="Times New Roman" w:cs="Times New Roman" w:eastAsia="Times New Roman" w:hAnsi="Times New Roman"/>
            <w:color w:val="000000"/>
            <w:sz w:val="24"/>
            <w:szCs w:val="24"/>
            <w:rtl w:val="0"/>
          </w:rPr>
          <w:t xml:space="preserve">10.1080/13504500009470049</w:t>
        </w:r>
      </w:hyperlink>
      <w:r w:rsidDel="00000000" w:rsidR="00000000" w:rsidRPr="00000000">
        <w:rPr>
          <w:rtl w:val="0"/>
        </w:rPr>
      </w:r>
    </w:p>
    <w:p w:rsidR="00000000" w:rsidDel="00000000" w:rsidP="00000000" w:rsidRDefault="00000000" w:rsidRPr="00000000" w14:paraId="000000F4">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Horton, A. (1999). A simple guide to successful foresight. </w:t>
      </w:r>
      <w:r w:rsidDel="00000000" w:rsidR="00000000" w:rsidRPr="00000000">
        <w:rPr>
          <w:rFonts w:ascii="Times New Roman" w:cs="Times New Roman" w:eastAsia="Times New Roman" w:hAnsi="Times New Roman"/>
          <w:i w:val="1"/>
          <w:color w:val="000000"/>
          <w:sz w:val="24"/>
          <w:szCs w:val="24"/>
          <w:rtl w:val="0"/>
        </w:rPr>
        <w:t xml:space="preserve">Foresight</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w:t>
      </w:r>
      <w:r w:rsidDel="00000000" w:rsidR="00000000" w:rsidRPr="00000000">
        <w:rPr>
          <w:rFonts w:ascii="Times New Roman" w:cs="Times New Roman" w:eastAsia="Times New Roman" w:hAnsi="Times New Roman"/>
          <w:color w:val="000000"/>
          <w:sz w:val="24"/>
          <w:szCs w:val="24"/>
          <w:rtl w:val="0"/>
        </w:rPr>
        <w:t xml:space="preserve">(1), 5–9. https://doi.org/</w:t>
      </w:r>
      <w:hyperlink r:id="rId32">
        <w:r w:rsidDel="00000000" w:rsidR="00000000" w:rsidRPr="00000000">
          <w:rPr>
            <w:rFonts w:ascii="Times New Roman" w:cs="Times New Roman" w:eastAsia="Times New Roman" w:hAnsi="Times New Roman"/>
            <w:color w:val="000000"/>
            <w:sz w:val="24"/>
            <w:szCs w:val="24"/>
            <w:rtl w:val="0"/>
          </w:rPr>
          <w:t xml:space="preserve">10.1108/14636689910802052</w:t>
        </w:r>
      </w:hyperlink>
      <w:r w:rsidDel="00000000" w:rsidR="00000000" w:rsidRPr="00000000">
        <w:rPr>
          <w:rtl w:val="0"/>
        </w:rPr>
      </w:r>
    </w:p>
    <w:p w:rsidR="00000000" w:rsidDel="00000000" w:rsidP="00000000" w:rsidRDefault="00000000" w:rsidRPr="00000000" w14:paraId="000000F5">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Ibdah, D., Lachtar, N., Raparthi, S. M., &amp; Bacha, A. (2021). “Why Should I Read the Privacy Policy, I Just Need the Service”: A Study on Attitudes and Perceptions Toward Privacy Policies. </w:t>
      </w:r>
      <w:r w:rsidDel="00000000" w:rsidR="00000000" w:rsidRPr="00000000">
        <w:rPr>
          <w:rFonts w:ascii="Times New Roman" w:cs="Times New Roman" w:eastAsia="Times New Roman" w:hAnsi="Times New Roman"/>
          <w:i w:val="1"/>
          <w:color w:val="000000"/>
          <w:sz w:val="24"/>
          <w:szCs w:val="24"/>
          <w:rtl w:val="0"/>
        </w:rPr>
        <w:t xml:space="preserve">IEEE Access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9</w:t>
      </w:r>
      <w:r w:rsidDel="00000000" w:rsidR="00000000" w:rsidRPr="00000000">
        <w:rPr>
          <w:rFonts w:ascii="Times New Roman" w:cs="Times New Roman" w:eastAsia="Times New Roman" w:hAnsi="Times New Roman"/>
          <w:color w:val="000000"/>
          <w:sz w:val="24"/>
          <w:szCs w:val="24"/>
          <w:rtl w:val="0"/>
        </w:rPr>
        <w:t xml:space="preserve">, 166465–166487. https://doi.org/</w:t>
      </w:r>
      <w:hyperlink r:id="rId33">
        <w:r w:rsidDel="00000000" w:rsidR="00000000" w:rsidRPr="00000000">
          <w:rPr>
            <w:rFonts w:ascii="Times New Roman" w:cs="Times New Roman" w:eastAsia="Times New Roman" w:hAnsi="Times New Roman"/>
            <w:color w:val="000000"/>
            <w:sz w:val="24"/>
            <w:szCs w:val="24"/>
            <w:rtl w:val="0"/>
          </w:rPr>
          <w:t xml:space="preserve">10.1109/ACCESS.2021.3130086</w:t>
        </w:r>
      </w:hyperlink>
      <w:r w:rsidDel="00000000" w:rsidR="00000000" w:rsidRPr="00000000">
        <w:rPr>
          <w:rtl w:val="0"/>
        </w:rPr>
      </w:r>
    </w:p>
    <w:p w:rsidR="00000000" w:rsidDel="00000000" w:rsidP="00000000" w:rsidRDefault="00000000" w:rsidRPr="00000000" w14:paraId="000000F6">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Jesus, V., &amp; Pandit, H. J. (2022). Consent receipts for a usable and auditable web of personal data. </w:t>
      </w:r>
      <w:r w:rsidDel="00000000" w:rsidR="00000000" w:rsidRPr="00000000">
        <w:rPr>
          <w:rFonts w:ascii="Times New Roman" w:cs="Times New Roman" w:eastAsia="Times New Roman" w:hAnsi="Times New Roman"/>
          <w:i w:val="1"/>
          <w:color w:val="000000"/>
          <w:sz w:val="24"/>
          <w:szCs w:val="24"/>
          <w:rtl w:val="0"/>
        </w:rPr>
        <w:t xml:space="preserve">IEEE Access: Practical Innovations, Open Solutions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10</w:t>
      </w:r>
      <w:r w:rsidDel="00000000" w:rsidR="00000000" w:rsidRPr="00000000">
        <w:rPr>
          <w:rFonts w:ascii="Times New Roman" w:cs="Times New Roman" w:eastAsia="Times New Roman" w:hAnsi="Times New Roman"/>
          <w:color w:val="000000"/>
          <w:sz w:val="24"/>
          <w:szCs w:val="24"/>
          <w:rtl w:val="0"/>
        </w:rPr>
        <w:t xml:space="preserve">, 28545–28563. https://doi.org/</w:t>
      </w:r>
      <w:hyperlink r:id="rId34">
        <w:r w:rsidDel="00000000" w:rsidR="00000000" w:rsidRPr="00000000">
          <w:rPr>
            <w:rFonts w:ascii="Times New Roman" w:cs="Times New Roman" w:eastAsia="Times New Roman" w:hAnsi="Times New Roman"/>
            <w:color w:val="000000"/>
            <w:sz w:val="24"/>
            <w:szCs w:val="24"/>
            <w:rtl w:val="0"/>
          </w:rPr>
          <w:t xml:space="preserve">10.1109/access.2022.3157850</w:t>
        </w:r>
      </w:hyperlink>
      <w:r w:rsidDel="00000000" w:rsidR="00000000" w:rsidRPr="00000000">
        <w:rPr>
          <w:rtl w:val="0"/>
        </w:rPr>
      </w:r>
    </w:p>
    <w:p w:rsidR="00000000" w:rsidDel="00000000" w:rsidP="00000000" w:rsidRDefault="00000000" w:rsidRPr="00000000" w14:paraId="000000F7">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Karwatzki, S., Dytynko, O., Trenz, M., &amp; Veit, D. (2017). Beyond the Personalization–Privacy Paradox: Privacy Valuation, Transparency Features, and Service Personalization. </w:t>
      </w:r>
      <w:r w:rsidDel="00000000" w:rsidR="00000000" w:rsidRPr="00000000">
        <w:rPr>
          <w:rFonts w:ascii="Times New Roman" w:cs="Times New Roman" w:eastAsia="Times New Roman" w:hAnsi="Times New Roman"/>
          <w:i w:val="1"/>
          <w:color w:val="000000"/>
          <w:sz w:val="24"/>
          <w:szCs w:val="24"/>
          <w:rtl w:val="0"/>
        </w:rPr>
        <w:t xml:space="preserve">Journal of Management Information Systems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34</w:t>
      </w:r>
      <w:r w:rsidDel="00000000" w:rsidR="00000000" w:rsidRPr="00000000">
        <w:rPr>
          <w:rFonts w:ascii="Times New Roman" w:cs="Times New Roman" w:eastAsia="Times New Roman" w:hAnsi="Times New Roman"/>
          <w:color w:val="000000"/>
          <w:sz w:val="24"/>
          <w:szCs w:val="24"/>
          <w:rtl w:val="0"/>
        </w:rPr>
        <w:t xml:space="preserve">(2), 369–400. https://doi.org/</w:t>
      </w:r>
      <w:hyperlink r:id="rId35">
        <w:r w:rsidDel="00000000" w:rsidR="00000000" w:rsidRPr="00000000">
          <w:rPr>
            <w:rFonts w:ascii="Times New Roman" w:cs="Times New Roman" w:eastAsia="Times New Roman" w:hAnsi="Times New Roman"/>
            <w:color w:val="000000"/>
            <w:sz w:val="24"/>
            <w:szCs w:val="24"/>
            <w:rtl w:val="0"/>
          </w:rPr>
          <w:t xml:space="preserve">10.1080/07421222.2017.1334467</w:t>
        </w:r>
      </w:hyperlink>
      <w:r w:rsidDel="00000000" w:rsidR="00000000" w:rsidRPr="00000000">
        <w:rPr>
          <w:rtl w:val="0"/>
        </w:rPr>
      </w:r>
    </w:p>
    <w:p w:rsidR="00000000" w:rsidDel="00000000" w:rsidP="00000000" w:rsidRDefault="00000000" w:rsidRPr="00000000" w14:paraId="000000F8">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Knijnenburg, B. P. (2017). Privacy? I can’t even! Making a case for user-tailored privacy. </w:t>
      </w:r>
      <w:r w:rsidDel="00000000" w:rsidR="00000000" w:rsidRPr="00000000">
        <w:rPr>
          <w:rFonts w:ascii="Times New Roman" w:cs="Times New Roman" w:eastAsia="Times New Roman" w:hAnsi="Times New Roman"/>
          <w:i w:val="1"/>
          <w:color w:val="000000"/>
          <w:sz w:val="24"/>
          <w:szCs w:val="24"/>
          <w:rtl w:val="0"/>
        </w:rPr>
        <w:t xml:space="preserve">IEEE Security &amp; Privacy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15</w:t>
      </w:r>
      <w:r w:rsidDel="00000000" w:rsidR="00000000" w:rsidRPr="00000000">
        <w:rPr>
          <w:rFonts w:ascii="Times New Roman" w:cs="Times New Roman" w:eastAsia="Times New Roman" w:hAnsi="Times New Roman"/>
          <w:color w:val="000000"/>
          <w:sz w:val="24"/>
          <w:szCs w:val="24"/>
          <w:rtl w:val="0"/>
        </w:rPr>
        <w:t xml:space="preserve">(4), 62–67. https://doi.org/</w:t>
      </w:r>
      <w:hyperlink r:id="rId36">
        <w:r w:rsidDel="00000000" w:rsidR="00000000" w:rsidRPr="00000000">
          <w:rPr>
            <w:rFonts w:ascii="Times New Roman" w:cs="Times New Roman" w:eastAsia="Times New Roman" w:hAnsi="Times New Roman"/>
            <w:color w:val="000000"/>
            <w:sz w:val="24"/>
            <w:szCs w:val="24"/>
            <w:rtl w:val="0"/>
          </w:rPr>
          <w:t xml:space="preserve">10.1109/msp.2017.3151331</w:t>
        </w:r>
      </w:hyperlink>
      <w:r w:rsidDel="00000000" w:rsidR="00000000" w:rsidRPr="00000000">
        <w:rPr>
          <w:rtl w:val="0"/>
        </w:rPr>
      </w:r>
    </w:p>
    <w:p w:rsidR="00000000" w:rsidDel="00000000" w:rsidP="00000000" w:rsidRDefault="00000000" w:rsidRPr="00000000" w14:paraId="000000F9">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Knijnenburg, B. P., Anaraky, R. G., Wilkinson, D., Namara, M., He, Y., Cherry, D., &amp; Ash, E. (2022). User-Tailored Privacy. In </w:t>
      </w:r>
      <w:r w:rsidDel="00000000" w:rsidR="00000000" w:rsidRPr="00000000">
        <w:rPr>
          <w:rFonts w:ascii="Times New Roman" w:cs="Times New Roman" w:eastAsia="Times New Roman" w:hAnsi="Times New Roman"/>
          <w:i w:val="1"/>
          <w:color w:val="000000"/>
          <w:sz w:val="24"/>
          <w:szCs w:val="24"/>
          <w:rtl w:val="0"/>
        </w:rPr>
        <w:t xml:space="preserve">Modern Socio-Technical Perspectives on Privacy</w:t>
      </w:r>
      <w:r w:rsidDel="00000000" w:rsidR="00000000" w:rsidRPr="00000000">
        <w:rPr>
          <w:rFonts w:ascii="Times New Roman" w:cs="Times New Roman" w:eastAsia="Times New Roman" w:hAnsi="Times New Roman"/>
          <w:color w:val="000000"/>
          <w:sz w:val="24"/>
          <w:szCs w:val="24"/>
          <w:rtl w:val="0"/>
        </w:rPr>
        <w:t xml:space="preserve"> (pp. 367–393). Springer, Cham. </w:t>
      </w:r>
      <w:hyperlink r:id="rId37">
        <w:r w:rsidDel="00000000" w:rsidR="00000000" w:rsidRPr="00000000">
          <w:rPr>
            <w:rFonts w:ascii="Times New Roman" w:cs="Times New Roman" w:eastAsia="Times New Roman" w:hAnsi="Times New Roman"/>
            <w:color w:val="000000"/>
            <w:sz w:val="24"/>
            <w:szCs w:val="24"/>
            <w:rtl w:val="0"/>
          </w:rPr>
          <w:t xml:space="preserve">https://library.oapen.org/bitstream/handle/20.500.12657/52825/978-3-030-82786-1.pdf?sequence=1#page=365</w:t>
        </w:r>
      </w:hyperlink>
      <w:r w:rsidDel="00000000" w:rsidR="00000000" w:rsidRPr="00000000">
        <w:rPr>
          <w:rtl w:val="0"/>
        </w:rPr>
      </w:r>
    </w:p>
    <w:p w:rsidR="00000000" w:rsidDel="00000000" w:rsidP="00000000" w:rsidRDefault="00000000" w:rsidRPr="00000000" w14:paraId="000000FA">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Kununka, S., Mehandjiev, N., Sampaio, P., &amp; Vassilopoulou, K. (2017). End User Comprehension of Privacy Policy Representations. </w:t>
      </w:r>
      <w:r w:rsidDel="00000000" w:rsidR="00000000" w:rsidRPr="00000000">
        <w:rPr>
          <w:rFonts w:ascii="Times New Roman" w:cs="Times New Roman" w:eastAsia="Times New Roman" w:hAnsi="Times New Roman"/>
          <w:i w:val="1"/>
          <w:color w:val="000000"/>
          <w:sz w:val="24"/>
          <w:szCs w:val="24"/>
          <w:rtl w:val="0"/>
        </w:rPr>
        <w:t xml:space="preserve">End-User Development</w:t>
      </w:r>
      <w:r w:rsidDel="00000000" w:rsidR="00000000" w:rsidRPr="00000000">
        <w:rPr>
          <w:rFonts w:ascii="Times New Roman" w:cs="Times New Roman" w:eastAsia="Times New Roman" w:hAnsi="Times New Roman"/>
          <w:color w:val="000000"/>
          <w:sz w:val="24"/>
          <w:szCs w:val="24"/>
          <w:rtl w:val="0"/>
        </w:rPr>
        <w:t xml:space="preserve">, 135–149. https://doi.org/</w:t>
      </w:r>
      <w:hyperlink r:id="rId38">
        <w:r w:rsidDel="00000000" w:rsidR="00000000" w:rsidRPr="00000000">
          <w:rPr>
            <w:rFonts w:ascii="Times New Roman" w:cs="Times New Roman" w:eastAsia="Times New Roman" w:hAnsi="Times New Roman"/>
            <w:color w:val="000000"/>
            <w:sz w:val="24"/>
            <w:szCs w:val="24"/>
            <w:rtl w:val="0"/>
          </w:rPr>
          <w:t xml:space="preserve">10.1007/978-3-319-58735-6_10</w:t>
        </w:r>
      </w:hyperlink>
      <w:r w:rsidDel="00000000" w:rsidR="00000000" w:rsidRPr="00000000">
        <w:rPr>
          <w:rtl w:val="0"/>
        </w:rPr>
      </w:r>
    </w:p>
    <w:p w:rsidR="00000000" w:rsidDel="00000000" w:rsidP="00000000" w:rsidRDefault="00000000" w:rsidRPr="00000000" w14:paraId="000000FB">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Lee, N., &amp; Kwon, O. (2015). A privacy-aware feature selection method for solving the personalization–privacy paradox in mobile wellness healthcare services. </w:t>
      </w:r>
      <w:r w:rsidDel="00000000" w:rsidR="00000000" w:rsidRPr="00000000">
        <w:rPr>
          <w:rFonts w:ascii="Times New Roman" w:cs="Times New Roman" w:eastAsia="Times New Roman" w:hAnsi="Times New Roman"/>
          <w:i w:val="1"/>
          <w:color w:val="000000"/>
          <w:sz w:val="24"/>
          <w:szCs w:val="24"/>
          <w:rtl w:val="0"/>
        </w:rPr>
        <w:t xml:space="preserve">Expert Systems with Applications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42</w:t>
      </w:r>
      <w:r w:rsidDel="00000000" w:rsidR="00000000" w:rsidRPr="00000000">
        <w:rPr>
          <w:rFonts w:ascii="Times New Roman" w:cs="Times New Roman" w:eastAsia="Times New Roman" w:hAnsi="Times New Roman"/>
          <w:color w:val="000000"/>
          <w:sz w:val="24"/>
          <w:szCs w:val="24"/>
          <w:rtl w:val="0"/>
        </w:rPr>
        <w:t xml:space="preserve">(5), 2764–2771. https://doi.org/</w:t>
      </w:r>
      <w:hyperlink r:id="rId39">
        <w:r w:rsidDel="00000000" w:rsidR="00000000" w:rsidRPr="00000000">
          <w:rPr>
            <w:rFonts w:ascii="Times New Roman" w:cs="Times New Roman" w:eastAsia="Times New Roman" w:hAnsi="Times New Roman"/>
            <w:color w:val="000000"/>
            <w:sz w:val="24"/>
            <w:szCs w:val="24"/>
            <w:rtl w:val="0"/>
          </w:rPr>
          <w:t xml:space="preserve">10.1016/j.eswa.2014.11.031</w:t>
        </w:r>
      </w:hyperlink>
      <w:r w:rsidDel="00000000" w:rsidR="00000000" w:rsidRPr="00000000">
        <w:rPr>
          <w:rtl w:val="0"/>
        </w:rPr>
      </w:r>
    </w:p>
    <w:p w:rsidR="00000000" w:rsidDel="00000000" w:rsidP="00000000" w:rsidRDefault="00000000" w:rsidRPr="00000000" w14:paraId="000000FC">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Linden, T., Khandelwal, R., Harkous, H., &amp; Fawaz, K. (2018). The Privacy Policy Landscape After the GDPR. In </w:t>
      </w:r>
      <w:r w:rsidDel="00000000" w:rsidR="00000000" w:rsidRPr="00000000">
        <w:rPr>
          <w:rFonts w:ascii="Times New Roman" w:cs="Times New Roman" w:eastAsia="Times New Roman" w:hAnsi="Times New Roman"/>
          <w:i w:val="1"/>
          <w:color w:val="000000"/>
          <w:sz w:val="24"/>
          <w:szCs w:val="24"/>
          <w:rtl w:val="0"/>
        </w:rPr>
        <w:t xml:space="preserve">arXiv [cs.CR]</w:t>
      </w:r>
      <w:r w:rsidDel="00000000" w:rsidR="00000000" w:rsidRPr="00000000">
        <w:rPr>
          <w:rFonts w:ascii="Times New Roman" w:cs="Times New Roman" w:eastAsia="Times New Roman" w:hAnsi="Times New Roman"/>
          <w:color w:val="000000"/>
          <w:sz w:val="24"/>
          <w:szCs w:val="24"/>
          <w:rtl w:val="0"/>
        </w:rPr>
        <w:t xml:space="preserve">. arXiv. </w:t>
      </w:r>
      <w:hyperlink r:id="rId40">
        <w:r w:rsidDel="00000000" w:rsidR="00000000" w:rsidRPr="00000000">
          <w:rPr>
            <w:rFonts w:ascii="Times New Roman" w:cs="Times New Roman" w:eastAsia="Times New Roman" w:hAnsi="Times New Roman"/>
            <w:color w:val="000000"/>
            <w:sz w:val="24"/>
            <w:szCs w:val="24"/>
            <w:rtl w:val="0"/>
          </w:rPr>
          <w:t xml:space="preserve">http://arxiv.org/abs/1809.08396</w:t>
        </w:r>
      </w:hyperlink>
      <w:r w:rsidDel="00000000" w:rsidR="00000000" w:rsidRPr="00000000">
        <w:rPr>
          <w:rtl w:val="0"/>
        </w:rPr>
      </w:r>
    </w:p>
    <w:p w:rsidR="00000000" w:rsidDel="00000000" w:rsidP="00000000" w:rsidRDefault="00000000" w:rsidRPr="00000000" w14:paraId="000000FD">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Liu, B., Andersen, M. S., Schaub, F., Almuhimedi, H., Zhang, S. (aerin), Sadeh, N., Agarwal, Y., &amp; Acquisti, A. (2016). Follow my recommendations: A personalized privacy assistant for mobile app permissions. </w:t>
      </w:r>
      <w:r w:rsidDel="00000000" w:rsidR="00000000" w:rsidRPr="00000000">
        <w:rPr>
          <w:rFonts w:ascii="Times New Roman" w:cs="Times New Roman" w:eastAsia="Times New Roman" w:hAnsi="Times New Roman"/>
          <w:i w:val="1"/>
          <w:color w:val="000000"/>
          <w:sz w:val="24"/>
          <w:szCs w:val="24"/>
          <w:rtl w:val="0"/>
        </w:rPr>
        <w:t xml:space="preserve">Twelfth Symposium on Usable Privacy and Security (SOUPS 2016)</w:t>
      </w:r>
      <w:r w:rsidDel="00000000" w:rsidR="00000000" w:rsidRPr="00000000">
        <w:rPr>
          <w:rFonts w:ascii="Times New Roman" w:cs="Times New Roman" w:eastAsia="Times New Roman" w:hAnsi="Times New Roman"/>
          <w:color w:val="000000"/>
          <w:sz w:val="24"/>
          <w:szCs w:val="24"/>
          <w:rtl w:val="0"/>
        </w:rPr>
        <w:t xml:space="preserve">, 27–41. </w:t>
      </w:r>
      <w:hyperlink r:id="rId41">
        <w:r w:rsidDel="00000000" w:rsidR="00000000" w:rsidRPr="00000000">
          <w:rPr>
            <w:rFonts w:ascii="Times New Roman" w:cs="Times New Roman" w:eastAsia="Times New Roman" w:hAnsi="Times New Roman"/>
            <w:color w:val="000000"/>
            <w:sz w:val="24"/>
            <w:szCs w:val="24"/>
            <w:rtl w:val="0"/>
          </w:rPr>
          <w:t xml:space="preserve">https://www.usenix.org/conference/soups2016/technical-sessions/presentation/liu</w:t>
        </w:r>
      </w:hyperlink>
      <w:r w:rsidDel="00000000" w:rsidR="00000000" w:rsidRPr="00000000">
        <w:rPr>
          <w:rtl w:val="0"/>
        </w:rPr>
      </w:r>
    </w:p>
    <w:p w:rsidR="00000000" w:rsidDel="00000000" w:rsidP="00000000" w:rsidRDefault="00000000" w:rsidRPr="00000000" w14:paraId="000000FE">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color w:val="0000ff"/>
          <w:sz w:val="24"/>
          <w:szCs w:val="24"/>
          <w:highlight w:val="white"/>
          <w:rtl w:val="0"/>
        </w:rPr>
        <w:t xml:space="preserve">Marky, K., Stöver, A., Prange, S., Bleck, K., Gerber, P., Zimmermann, V., ... &amp; Mühlhäuser, M. (2024). Decide yourself or delegate-user preferences regarding the autonomy of personal privacy assistants in private IoT-equipped environments. In </w:t>
      </w:r>
      <w:r w:rsidDel="00000000" w:rsidR="00000000" w:rsidRPr="00000000">
        <w:rPr>
          <w:rFonts w:ascii="Times New Roman" w:cs="Times New Roman" w:eastAsia="Times New Roman" w:hAnsi="Times New Roman"/>
          <w:i w:val="1"/>
          <w:color w:val="0000ff"/>
          <w:sz w:val="24"/>
          <w:szCs w:val="24"/>
          <w:highlight w:val="white"/>
          <w:rtl w:val="0"/>
        </w:rPr>
        <w:t xml:space="preserve">Proceedings of the 2024 CHI Conference on Human Factors in Computing Systems</w:t>
      </w:r>
      <w:r w:rsidDel="00000000" w:rsidR="00000000" w:rsidRPr="00000000">
        <w:rPr>
          <w:rFonts w:ascii="Times New Roman" w:cs="Times New Roman" w:eastAsia="Times New Roman" w:hAnsi="Times New Roman"/>
          <w:color w:val="0000ff"/>
          <w:sz w:val="24"/>
          <w:szCs w:val="24"/>
          <w:highlight w:val="white"/>
          <w:rtl w:val="0"/>
        </w:rPr>
        <w:t xml:space="preserve">, 1-20.</w:t>
      </w:r>
      <w:r w:rsidDel="00000000" w:rsidR="00000000" w:rsidRPr="00000000">
        <w:rPr>
          <w:rFonts w:ascii="Times New Roman" w:cs="Times New Roman" w:eastAsia="Times New Roman" w:hAnsi="Times New Roman"/>
          <w:sz w:val="24"/>
          <w:szCs w:val="24"/>
          <w:highlight w:val="white"/>
          <w:rtl w:val="0"/>
        </w:rPr>
        <w:t xml:space="preserve"> https://doi.org/10.1145/3613904.3642591</w:t>
      </w:r>
      <w:r w:rsidDel="00000000" w:rsidR="00000000" w:rsidRPr="00000000">
        <w:rPr>
          <w:rtl w:val="0"/>
        </w:rPr>
      </w:r>
    </w:p>
    <w:p w:rsidR="00000000" w:rsidDel="00000000" w:rsidP="00000000" w:rsidRDefault="00000000" w:rsidRPr="00000000" w14:paraId="000000FF">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McMahan, H. B., Moore, E., Ramage, D., Hampson, S., &amp; Arcas, B. A. Y. (2016). Communication-efficient learning of deep networks from decentralized data. </w:t>
      </w:r>
      <w:r w:rsidDel="00000000" w:rsidR="00000000" w:rsidRPr="00000000">
        <w:rPr>
          <w:rFonts w:ascii="Times New Roman" w:cs="Times New Roman" w:eastAsia="Times New Roman" w:hAnsi="Times New Roman"/>
          <w:i w:val="1"/>
          <w:color w:val="000000"/>
          <w:sz w:val="24"/>
          <w:szCs w:val="24"/>
          <w:rtl w:val="0"/>
        </w:rPr>
        <w:t xml:space="preserve">International Conference on Artificial Intelligence and Statistics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54</w:t>
      </w:r>
      <w:r w:rsidDel="00000000" w:rsidR="00000000" w:rsidRPr="00000000">
        <w:rPr>
          <w:rFonts w:ascii="Times New Roman" w:cs="Times New Roman" w:eastAsia="Times New Roman" w:hAnsi="Times New Roman"/>
          <w:color w:val="000000"/>
          <w:sz w:val="24"/>
          <w:szCs w:val="24"/>
          <w:rtl w:val="0"/>
        </w:rPr>
        <w:t xml:space="preserve">, 1273–1282. </w:t>
      </w:r>
      <w:hyperlink r:id="rId42">
        <w:r w:rsidDel="00000000" w:rsidR="00000000" w:rsidRPr="00000000">
          <w:rPr>
            <w:rFonts w:ascii="Times New Roman" w:cs="Times New Roman" w:eastAsia="Times New Roman" w:hAnsi="Times New Roman"/>
            <w:color w:val="000000"/>
            <w:sz w:val="24"/>
            <w:szCs w:val="24"/>
            <w:rtl w:val="0"/>
          </w:rPr>
          <w:t xml:space="preserve">https://proceedings.mlr.press/v54/mcmahan17a?ref=https://githubhelp.com</w:t>
        </w:r>
      </w:hyperlink>
      <w:r w:rsidDel="00000000" w:rsidR="00000000" w:rsidRPr="00000000">
        <w:rPr>
          <w:rtl w:val="0"/>
        </w:rPr>
      </w:r>
    </w:p>
    <w:p w:rsidR="00000000" w:rsidDel="00000000" w:rsidP="00000000" w:rsidRDefault="00000000" w:rsidRPr="00000000" w14:paraId="00000100">
      <w:pPr>
        <w:widowControl w:val="0"/>
        <w:shd w:fill="auto" w:val="clear"/>
        <w:spacing w:line="480" w:lineRule="auto"/>
        <w:ind w:left="440" w:hanging="44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rtl w:val="0"/>
        </w:rPr>
        <w:t xml:space="preserve">Morel, V., Iwaya, L., &amp; Fischer-Hübner, S. (2025). SoK: A classification for AI-driven Personalized Privacy Assistants. In </w:t>
      </w:r>
      <w:r w:rsidDel="00000000" w:rsidR="00000000" w:rsidRPr="00000000">
        <w:rPr>
          <w:rFonts w:ascii="Times New Roman" w:cs="Times New Roman" w:eastAsia="Times New Roman" w:hAnsi="Times New Roman"/>
          <w:i w:val="1"/>
          <w:color w:val="0000ff"/>
          <w:sz w:val="24"/>
          <w:szCs w:val="24"/>
          <w:rtl w:val="0"/>
        </w:rPr>
        <w:t xml:space="preserve">arXiv [cs.CY]</w:t>
      </w:r>
      <w:r w:rsidDel="00000000" w:rsidR="00000000" w:rsidRPr="00000000">
        <w:rPr>
          <w:rFonts w:ascii="Times New Roman" w:cs="Times New Roman" w:eastAsia="Times New Roman" w:hAnsi="Times New Roman"/>
          <w:color w:val="0000ff"/>
          <w:sz w:val="24"/>
          <w:szCs w:val="24"/>
          <w:rtl w:val="0"/>
        </w:rPr>
        <w:t xml:space="preserve">. arXiv. http://arxiv.org/abs/2502.07693</w:t>
      </w:r>
    </w:p>
    <w:p w:rsidR="00000000" w:rsidDel="00000000" w:rsidP="00000000" w:rsidRDefault="00000000" w:rsidRPr="00000000" w14:paraId="00000101">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Mosqueira-Rey, E., Hernández-Pereira, E., Alonso-Ríos, D., Bobes-Bascarán, J., &amp; Fernández-Leal, Á. (2023). Human-in-the-loop machine learning: a state of the art. </w:t>
      </w:r>
      <w:r w:rsidDel="00000000" w:rsidR="00000000" w:rsidRPr="00000000">
        <w:rPr>
          <w:rFonts w:ascii="Times New Roman" w:cs="Times New Roman" w:eastAsia="Times New Roman" w:hAnsi="Times New Roman"/>
          <w:i w:val="1"/>
          <w:color w:val="000000"/>
          <w:sz w:val="24"/>
          <w:szCs w:val="24"/>
          <w:rtl w:val="0"/>
        </w:rPr>
        <w:t xml:space="preserve">Artificial Intelligence Review</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56</w:t>
      </w:r>
      <w:r w:rsidDel="00000000" w:rsidR="00000000" w:rsidRPr="00000000">
        <w:rPr>
          <w:rFonts w:ascii="Times New Roman" w:cs="Times New Roman" w:eastAsia="Times New Roman" w:hAnsi="Times New Roman"/>
          <w:color w:val="000000"/>
          <w:sz w:val="24"/>
          <w:szCs w:val="24"/>
          <w:rtl w:val="0"/>
        </w:rPr>
        <w:t xml:space="preserve">(4), 3005–3054. https://doi.org/</w:t>
      </w:r>
      <w:hyperlink r:id="rId43">
        <w:r w:rsidDel="00000000" w:rsidR="00000000" w:rsidRPr="00000000">
          <w:rPr>
            <w:rFonts w:ascii="Times New Roman" w:cs="Times New Roman" w:eastAsia="Times New Roman" w:hAnsi="Times New Roman"/>
            <w:color w:val="000000"/>
            <w:sz w:val="24"/>
            <w:szCs w:val="24"/>
            <w:rtl w:val="0"/>
          </w:rPr>
          <w:t xml:space="preserve">10.1007/s10462-022-10246-w</w:t>
        </w:r>
      </w:hyperlink>
      <w:r w:rsidDel="00000000" w:rsidR="00000000" w:rsidRPr="00000000">
        <w:rPr>
          <w:rtl w:val="0"/>
        </w:rPr>
      </w:r>
    </w:p>
    <w:p w:rsidR="00000000" w:rsidDel="00000000" w:rsidP="00000000" w:rsidRDefault="00000000" w:rsidRPr="00000000" w14:paraId="00000102">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Nakamura, T., Kiyomoto, S., &amp; Tesfay, W. B. (2016). Personalised privacy by default preferences-experiment and analysis. </w:t>
      </w:r>
      <w:r w:rsidDel="00000000" w:rsidR="00000000" w:rsidRPr="00000000">
        <w:rPr>
          <w:rFonts w:ascii="Times New Roman" w:cs="Times New Roman" w:eastAsia="Times New Roman" w:hAnsi="Times New Roman"/>
          <w:i w:val="1"/>
          <w:color w:val="000000"/>
          <w:sz w:val="24"/>
          <w:szCs w:val="24"/>
          <w:rtl w:val="0"/>
        </w:rPr>
        <w:t xml:space="preserve">On Information Systems …</w:t>
      </w:r>
      <w:r w:rsidDel="00000000" w:rsidR="00000000" w:rsidRPr="00000000">
        <w:rPr>
          <w:rFonts w:ascii="Times New Roman" w:cs="Times New Roman" w:eastAsia="Times New Roman" w:hAnsi="Times New Roman"/>
          <w:color w:val="000000"/>
          <w:sz w:val="24"/>
          <w:szCs w:val="24"/>
          <w:rtl w:val="0"/>
        </w:rPr>
        <w:t xml:space="preserve">. </w:t>
      </w:r>
      <w:hyperlink r:id="rId44">
        <w:r w:rsidDel="00000000" w:rsidR="00000000" w:rsidRPr="00000000">
          <w:rPr>
            <w:rFonts w:ascii="Times New Roman" w:cs="Times New Roman" w:eastAsia="Times New Roman" w:hAnsi="Times New Roman"/>
            <w:color w:val="000000"/>
            <w:sz w:val="24"/>
            <w:szCs w:val="24"/>
            <w:rtl w:val="0"/>
          </w:rPr>
          <w:t xml:space="preserve">https://www.scitepress.org/Documents/2016/56811/</w:t>
        </w:r>
      </w:hyperlink>
      <w:r w:rsidDel="00000000" w:rsidR="00000000" w:rsidRPr="00000000">
        <w:rPr>
          <w:rtl w:val="0"/>
        </w:rPr>
      </w:r>
    </w:p>
    <w:p w:rsidR="00000000" w:rsidDel="00000000" w:rsidP="00000000" w:rsidRDefault="00000000" w:rsidRPr="00000000" w14:paraId="00000103">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Nakamura, T., Tesfay, W. B., Kiyomoto, S., &amp; Serna, J. (2017). Default Privacy Setting Prediction by Grouping User’s Attributes and Settings Preferences. </w:t>
      </w:r>
      <w:r w:rsidDel="00000000" w:rsidR="00000000" w:rsidRPr="00000000">
        <w:rPr>
          <w:rFonts w:ascii="Times New Roman" w:cs="Times New Roman" w:eastAsia="Times New Roman" w:hAnsi="Times New Roman"/>
          <w:i w:val="1"/>
          <w:color w:val="000000"/>
          <w:sz w:val="24"/>
          <w:szCs w:val="24"/>
          <w:rtl w:val="0"/>
        </w:rPr>
        <w:t xml:space="preserve">Data Privacy Management, Cryptocurrencies and Blockchain Technology</w:t>
      </w:r>
      <w:r w:rsidDel="00000000" w:rsidR="00000000" w:rsidRPr="00000000">
        <w:rPr>
          <w:rFonts w:ascii="Times New Roman" w:cs="Times New Roman" w:eastAsia="Times New Roman" w:hAnsi="Times New Roman"/>
          <w:color w:val="000000"/>
          <w:sz w:val="24"/>
          <w:szCs w:val="24"/>
          <w:rtl w:val="0"/>
        </w:rPr>
        <w:t xml:space="preserve">, 107–123. https://doi.org/</w:t>
      </w:r>
      <w:hyperlink r:id="rId45">
        <w:r w:rsidDel="00000000" w:rsidR="00000000" w:rsidRPr="00000000">
          <w:rPr>
            <w:rFonts w:ascii="Times New Roman" w:cs="Times New Roman" w:eastAsia="Times New Roman" w:hAnsi="Times New Roman"/>
            <w:color w:val="000000"/>
            <w:sz w:val="24"/>
            <w:szCs w:val="24"/>
            <w:rtl w:val="0"/>
          </w:rPr>
          <w:t xml:space="preserve">10.1007/978-3-319-67816-0_7</w:t>
        </w:r>
      </w:hyperlink>
      <w:r w:rsidDel="00000000" w:rsidR="00000000" w:rsidRPr="00000000">
        <w:rPr>
          <w:rtl w:val="0"/>
        </w:rPr>
      </w:r>
    </w:p>
    <w:p w:rsidR="00000000" w:rsidDel="00000000" w:rsidP="00000000" w:rsidRDefault="00000000" w:rsidRPr="00000000" w14:paraId="00000104">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Namara, M., Sloan, H., Jaiswal, P., &amp; Knijnenburg, B. P. (2018). The Potential for User-Tailored Privacy on Facebook. </w:t>
      </w:r>
      <w:r w:rsidDel="00000000" w:rsidR="00000000" w:rsidRPr="00000000">
        <w:rPr>
          <w:rFonts w:ascii="Times New Roman" w:cs="Times New Roman" w:eastAsia="Times New Roman" w:hAnsi="Times New Roman"/>
          <w:i w:val="1"/>
          <w:color w:val="000000"/>
          <w:sz w:val="24"/>
          <w:szCs w:val="24"/>
          <w:rtl w:val="0"/>
        </w:rPr>
        <w:t xml:space="preserve">2018 IEEE Symposium on Privacy-Aware Computing (PAC)</w:t>
      </w:r>
      <w:r w:rsidDel="00000000" w:rsidR="00000000" w:rsidRPr="00000000">
        <w:rPr>
          <w:rFonts w:ascii="Times New Roman" w:cs="Times New Roman" w:eastAsia="Times New Roman" w:hAnsi="Times New Roman"/>
          <w:color w:val="000000"/>
          <w:sz w:val="24"/>
          <w:szCs w:val="24"/>
          <w:rtl w:val="0"/>
        </w:rPr>
        <w:t xml:space="preserve">, 31–42. https://doi.org/</w:t>
      </w:r>
      <w:hyperlink r:id="rId46">
        <w:r w:rsidDel="00000000" w:rsidR="00000000" w:rsidRPr="00000000">
          <w:rPr>
            <w:rFonts w:ascii="Times New Roman" w:cs="Times New Roman" w:eastAsia="Times New Roman" w:hAnsi="Times New Roman"/>
            <w:color w:val="000000"/>
            <w:sz w:val="24"/>
            <w:szCs w:val="24"/>
            <w:rtl w:val="0"/>
          </w:rPr>
          <w:t xml:space="preserve">10.1109/PAC.2018.00010</w:t>
        </w:r>
      </w:hyperlink>
      <w:r w:rsidDel="00000000" w:rsidR="00000000" w:rsidRPr="00000000">
        <w:rPr>
          <w:rtl w:val="0"/>
        </w:rPr>
      </w:r>
    </w:p>
    <w:p w:rsidR="00000000" w:rsidDel="00000000" w:rsidP="00000000" w:rsidRDefault="00000000" w:rsidRPr="00000000" w14:paraId="00000105">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Nissenbaum. (2004). Privacy as contextual integrity. </w:t>
      </w:r>
      <w:r w:rsidDel="00000000" w:rsidR="00000000" w:rsidRPr="00000000">
        <w:rPr>
          <w:rFonts w:ascii="Times New Roman" w:cs="Times New Roman" w:eastAsia="Times New Roman" w:hAnsi="Times New Roman"/>
          <w:i w:val="1"/>
          <w:color w:val="000000"/>
          <w:sz w:val="24"/>
          <w:szCs w:val="24"/>
          <w:rtl w:val="0"/>
        </w:rPr>
        <w:t xml:space="preserve">Washington Law Review </w:t>
      </w:r>
      <w:r w:rsidDel="00000000" w:rsidR="00000000" w:rsidRPr="00000000">
        <w:rPr>
          <w:rFonts w:ascii="Times New Roman" w:cs="Times New Roman" w:eastAsia="Times New Roman" w:hAnsi="Times New Roman"/>
          <w:color w:val="000000"/>
          <w:sz w:val="24"/>
          <w:szCs w:val="24"/>
          <w:rtl w:val="0"/>
        </w:rPr>
        <w:t xml:space="preserve">. 79(1),</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119-158.</w:t>
      </w:r>
      <w:r w:rsidDel="00000000" w:rsidR="00000000" w:rsidRPr="00000000">
        <w:rPr>
          <w:rFonts w:ascii="Times New Roman" w:cs="Times New Roman" w:eastAsia="Times New Roman" w:hAnsi="Times New Roman"/>
          <w:sz w:val="24"/>
          <w:szCs w:val="24"/>
          <w:rtl w:val="0"/>
        </w:rPr>
        <w:t xml:space="preserve"> https://heinonline.org/HOL/P?h=hein.journals/washlr79&amp;i=129</w:t>
      </w:r>
      <w:r w:rsidDel="00000000" w:rsidR="00000000" w:rsidRPr="00000000">
        <w:rPr>
          <w:rtl w:val="0"/>
        </w:rPr>
      </w:r>
    </w:p>
    <w:p w:rsidR="00000000" w:rsidDel="00000000" w:rsidP="00000000" w:rsidRDefault="00000000" w:rsidRPr="00000000" w14:paraId="00000106">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Nissenbaum, H. (2011). A contextual approach to privacy online. </w:t>
      </w:r>
      <w:r w:rsidDel="00000000" w:rsidR="00000000" w:rsidRPr="00000000">
        <w:rPr>
          <w:rFonts w:ascii="Times New Roman" w:cs="Times New Roman" w:eastAsia="Times New Roman" w:hAnsi="Times New Roman"/>
          <w:i w:val="1"/>
          <w:color w:val="000000"/>
          <w:sz w:val="24"/>
          <w:szCs w:val="24"/>
          <w:rtl w:val="0"/>
        </w:rPr>
        <w:t xml:space="preserve">Daedalus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140</w:t>
      </w:r>
      <w:r w:rsidDel="00000000" w:rsidR="00000000" w:rsidRPr="00000000">
        <w:rPr>
          <w:rFonts w:ascii="Times New Roman" w:cs="Times New Roman" w:eastAsia="Times New Roman" w:hAnsi="Times New Roman"/>
          <w:color w:val="000000"/>
          <w:sz w:val="24"/>
          <w:szCs w:val="24"/>
          <w:rtl w:val="0"/>
        </w:rPr>
        <w:t xml:space="preserve">(4), 32–48. https://doi.org/</w:t>
      </w:r>
      <w:hyperlink r:id="rId47">
        <w:r w:rsidDel="00000000" w:rsidR="00000000" w:rsidRPr="00000000">
          <w:rPr>
            <w:rFonts w:ascii="Times New Roman" w:cs="Times New Roman" w:eastAsia="Times New Roman" w:hAnsi="Times New Roman"/>
            <w:color w:val="000000"/>
            <w:sz w:val="24"/>
            <w:szCs w:val="24"/>
            <w:rtl w:val="0"/>
          </w:rPr>
          <w:t xml:space="preserve">10.1162/daed_a_00113</w:t>
        </w:r>
      </w:hyperlink>
      <w:r w:rsidDel="00000000" w:rsidR="00000000" w:rsidRPr="00000000">
        <w:rPr>
          <w:rtl w:val="0"/>
        </w:rPr>
      </w:r>
    </w:p>
    <w:p w:rsidR="00000000" w:rsidDel="00000000" w:rsidP="00000000" w:rsidRDefault="00000000" w:rsidRPr="00000000" w14:paraId="00000107">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Nouwens, M., Bagge, R., Kristensen, J. B., &amp; Klokmose, C. N. (2022, April 27). Consent-O-matic: Automatically answering consent pop-ups using adversarial interoperability. </w:t>
      </w:r>
      <w:r w:rsidDel="00000000" w:rsidR="00000000" w:rsidRPr="00000000">
        <w:rPr>
          <w:rFonts w:ascii="Times New Roman" w:cs="Times New Roman" w:eastAsia="Times New Roman" w:hAnsi="Times New Roman"/>
          <w:i w:val="1"/>
          <w:color w:val="000000"/>
          <w:sz w:val="24"/>
          <w:szCs w:val="24"/>
          <w:rtl w:val="0"/>
        </w:rPr>
        <w:t xml:space="preserve">CHI Conference on Human Factors in Computing Systems Extended Abstracts</w:t>
      </w:r>
      <w:r w:rsidDel="00000000" w:rsidR="00000000" w:rsidRPr="00000000">
        <w:rPr>
          <w:rFonts w:ascii="Times New Roman" w:cs="Times New Roman" w:eastAsia="Times New Roman" w:hAnsi="Times New Roman"/>
          <w:color w:val="000000"/>
          <w:sz w:val="24"/>
          <w:szCs w:val="24"/>
          <w:rtl w:val="0"/>
        </w:rPr>
        <w:t xml:space="preserve">. CHI ’22: CHI Conference on Human Factors in Computing Systems, New Orleans LA USA. https://doi.org/</w:t>
      </w:r>
      <w:hyperlink r:id="rId48">
        <w:r w:rsidDel="00000000" w:rsidR="00000000" w:rsidRPr="00000000">
          <w:rPr>
            <w:rFonts w:ascii="Times New Roman" w:cs="Times New Roman" w:eastAsia="Times New Roman" w:hAnsi="Times New Roman"/>
            <w:color w:val="000000"/>
            <w:sz w:val="24"/>
            <w:szCs w:val="24"/>
            <w:rtl w:val="0"/>
          </w:rPr>
          <w:t xml:space="preserve">10.1145/3491101.3519683</w:t>
        </w:r>
      </w:hyperlink>
      <w:r w:rsidDel="00000000" w:rsidR="00000000" w:rsidRPr="00000000">
        <w:rPr>
          <w:rtl w:val="0"/>
        </w:rPr>
      </w:r>
    </w:p>
    <w:p w:rsidR="00000000" w:rsidDel="00000000" w:rsidP="00000000" w:rsidRDefault="00000000" w:rsidRPr="00000000" w14:paraId="00000108">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Obar, J. A., &amp; Oeldorf-Hirsch, A. (2020). The biggest lie on the Internet: ignoring the privacy policies and terms of service policies of social networking services. </w:t>
      </w:r>
      <w:r w:rsidDel="00000000" w:rsidR="00000000" w:rsidRPr="00000000">
        <w:rPr>
          <w:rFonts w:ascii="Times New Roman" w:cs="Times New Roman" w:eastAsia="Times New Roman" w:hAnsi="Times New Roman"/>
          <w:i w:val="1"/>
          <w:color w:val="000000"/>
          <w:sz w:val="24"/>
          <w:szCs w:val="24"/>
          <w:rtl w:val="0"/>
        </w:rPr>
        <w:t xml:space="preserve">Information, Communication and Society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23</w:t>
      </w:r>
      <w:r w:rsidDel="00000000" w:rsidR="00000000" w:rsidRPr="00000000">
        <w:rPr>
          <w:rFonts w:ascii="Times New Roman" w:cs="Times New Roman" w:eastAsia="Times New Roman" w:hAnsi="Times New Roman"/>
          <w:color w:val="000000"/>
          <w:sz w:val="24"/>
          <w:szCs w:val="24"/>
          <w:rtl w:val="0"/>
        </w:rPr>
        <w:t xml:space="preserve">(1), 128–147. https://doi.org/</w:t>
      </w:r>
      <w:hyperlink r:id="rId49">
        <w:r w:rsidDel="00000000" w:rsidR="00000000" w:rsidRPr="00000000">
          <w:rPr>
            <w:rFonts w:ascii="Times New Roman" w:cs="Times New Roman" w:eastAsia="Times New Roman" w:hAnsi="Times New Roman"/>
            <w:color w:val="000000"/>
            <w:sz w:val="24"/>
            <w:szCs w:val="24"/>
            <w:rtl w:val="0"/>
          </w:rPr>
          <w:t xml:space="preserve">10.1080/1369118X.2018.1486870</w:t>
        </w:r>
      </w:hyperlink>
      <w:r w:rsidDel="00000000" w:rsidR="00000000" w:rsidRPr="00000000">
        <w:rPr>
          <w:rtl w:val="0"/>
        </w:rPr>
      </w:r>
    </w:p>
    <w:p w:rsidR="00000000" w:rsidDel="00000000" w:rsidP="00000000" w:rsidRDefault="00000000" w:rsidRPr="00000000" w14:paraId="00000109">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Pandit, H. J., O’Sullivan, D., &amp; Lewis, D. (2018). Personalised Privacy Policies. </w:t>
      </w:r>
      <w:r w:rsidDel="00000000" w:rsidR="00000000" w:rsidRPr="00000000">
        <w:rPr>
          <w:rFonts w:ascii="Times New Roman" w:cs="Times New Roman" w:eastAsia="Times New Roman" w:hAnsi="Times New Roman"/>
          <w:i w:val="1"/>
          <w:color w:val="000000"/>
          <w:sz w:val="24"/>
          <w:szCs w:val="24"/>
          <w:rtl w:val="0"/>
        </w:rPr>
        <w:t xml:space="preserve">New Trends in Databases and Information Systems</w:t>
      </w:r>
      <w:r w:rsidDel="00000000" w:rsidR="00000000" w:rsidRPr="00000000">
        <w:rPr>
          <w:rFonts w:ascii="Times New Roman" w:cs="Times New Roman" w:eastAsia="Times New Roman" w:hAnsi="Times New Roman"/>
          <w:color w:val="000000"/>
          <w:sz w:val="24"/>
          <w:szCs w:val="24"/>
          <w:rtl w:val="0"/>
        </w:rPr>
        <w:t xml:space="preserve">, 127–137. https://doi.org/</w:t>
      </w:r>
      <w:hyperlink r:id="rId50">
        <w:r w:rsidDel="00000000" w:rsidR="00000000" w:rsidRPr="00000000">
          <w:rPr>
            <w:rFonts w:ascii="Times New Roman" w:cs="Times New Roman" w:eastAsia="Times New Roman" w:hAnsi="Times New Roman"/>
            <w:color w:val="000000"/>
            <w:sz w:val="24"/>
            <w:szCs w:val="24"/>
            <w:rtl w:val="0"/>
          </w:rPr>
          <w:t xml:space="preserve">10.1007/978-3-030-00063-9_14</w:t>
        </w:r>
      </w:hyperlink>
      <w:r w:rsidDel="00000000" w:rsidR="00000000" w:rsidRPr="00000000">
        <w:rPr>
          <w:rtl w:val="0"/>
        </w:rPr>
      </w:r>
    </w:p>
    <w:p w:rsidR="00000000" w:rsidDel="00000000" w:rsidP="00000000" w:rsidRDefault="00000000" w:rsidRPr="00000000" w14:paraId="0000010A">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Pandit, H. J., Polleres, A., Bos, B., Brennan, R., Bruegger, B., Ekaputra, F. J., Fernández, J. D., Hamed, R. G., Kiesling, E., Lizar, M., Schlehahn, E., Steyskal, S., &amp; Wenning, R. (2019). Creating a vocabulary for data privacy. In </w:t>
      </w:r>
      <w:r w:rsidDel="00000000" w:rsidR="00000000" w:rsidRPr="00000000">
        <w:rPr>
          <w:rFonts w:ascii="Times New Roman" w:cs="Times New Roman" w:eastAsia="Times New Roman" w:hAnsi="Times New Roman"/>
          <w:i w:val="1"/>
          <w:color w:val="000000"/>
          <w:sz w:val="24"/>
          <w:szCs w:val="24"/>
          <w:rtl w:val="0"/>
        </w:rPr>
        <w:t xml:space="preserve">Lecture Notes in Computer Science</w:t>
      </w:r>
      <w:r w:rsidDel="00000000" w:rsidR="00000000" w:rsidRPr="00000000">
        <w:rPr>
          <w:rFonts w:ascii="Times New Roman" w:cs="Times New Roman" w:eastAsia="Times New Roman" w:hAnsi="Times New Roman"/>
          <w:color w:val="000000"/>
          <w:sz w:val="24"/>
          <w:szCs w:val="24"/>
          <w:rtl w:val="0"/>
        </w:rPr>
        <w:t xml:space="preserve"> (pp. 714–730). Springer International Publishing. https://doi.org/</w:t>
      </w:r>
      <w:hyperlink r:id="rId51">
        <w:r w:rsidDel="00000000" w:rsidR="00000000" w:rsidRPr="00000000">
          <w:rPr>
            <w:rFonts w:ascii="Times New Roman" w:cs="Times New Roman" w:eastAsia="Times New Roman" w:hAnsi="Times New Roman"/>
            <w:color w:val="000000"/>
            <w:sz w:val="24"/>
            <w:szCs w:val="24"/>
            <w:rtl w:val="0"/>
          </w:rPr>
          <w:t xml:space="preserve">10.1007/978-3-030-33246-4_44</w:t>
        </w:r>
      </w:hyperlink>
      <w:r w:rsidDel="00000000" w:rsidR="00000000" w:rsidRPr="00000000">
        <w:rPr>
          <w:rtl w:val="0"/>
        </w:rPr>
      </w:r>
    </w:p>
    <w:p w:rsidR="00000000" w:rsidDel="00000000" w:rsidP="00000000" w:rsidRDefault="00000000" w:rsidRPr="00000000" w14:paraId="0000010B">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i w:val="1"/>
          <w:color w:val="000000"/>
          <w:sz w:val="24"/>
          <w:szCs w:val="24"/>
          <w:rtl w:val="0"/>
        </w:rPr>
        <w:t xml:space="preserve">Personalized Privacy Assistant Project</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Accessed in </w:t>
      </w:r>
      <w:r w:rsidDel="00000000" w:rsidR="00000000" w:rsidRPr="00000000">
        <w:rPr>
          <w:rFonts w:ascii="Times New Roman" w:cs="Times New Roman" w:eastAsia="Times New Roman" w:hAnsi="Times New Roman"/>
          <w:color w:val="000000"/>
          <w:sz w:val="24"/>
          <w:szCs w:val="24"/>
          <w:rtl w:val="0"/>
        </w:rPr>
        <w:t xml:space="preserve">2024 </w:t>
      </w:r>
      <w:r w:rsidDel="00000000" w:rsidR="00000000" w:rsidRPr="00000000">
        <w:rPr>
          <w:rFonts w:ascii="Times New Roman" w:cs="Times New Roman" w:eastAsia="Times New Roman" w:hAnsi="Times New Roman"/>
          <w:color w:val="0000ff"/>
          <w:sz w:val="24"/>
          <w:szCs w:val="24"/>
          <w:rtl w:val="0"/>
        </w:rPr>
        <w:t xml:space="preserve">and 2025</w:t>
      </w:r>
      <w:r w:rsidDel="00000000" w:rsidR="00000000" w:rsidRPr="00000000">
        <w:rPr>
          <w:rFonts w:ascii="Times New Roman" w:cs="Times New Roman" w:eastAsia="Times New Roman" w:hAnsi="Times New Roman"/>
          <w:color w:val="000000"/>
          <w:sz w:val="24"/>
          <w:szCs w:val="24"/>
          <w:rtl w:val="0"/>
        </w:rPr>
        <w:t xml:space="preserve">, from </w:t>
      </w:r>
      <w:hyperlink r:id="rId52">
        <w:r w:rsidDel="00000000" w:rsidR="00000000" w:rsidRPr="00000000">
          <w:rPr>
            <w:rFonts w:ascii="Times New Roman" w:cs="Times New Roman" w:eastAsia="Times New Roman" w:hAnsi="Times New Roman"/>
            <w:color w:val="000000"/>
            <w:sz w:val="24"/>
            <w:szCs w:val="24"/>
            <w:rtl w:val="0"/>
          </w:rPr>
          <w:t xml:space="preserve">https://privacyassistant.org/</w:t>
        </w:r>
      </w:hyperlink>
      <w:r w:rsidDel="00000000" w:rsidR="00000000" w:rsidRPr="00000000">
        <w:rPr>
          <w:rtl w:val="0"/>
        </w:rPr>
      </w:r>
    </w:p>
    <w:p w:rsidR="00000000" w:rsidDel="00000000" w:rsidP="00000000" w:rsidRDefault="00000000" w:rsidRPr="00000000" w14:paraId="0000010C">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Popper, R. (2008). How are foresight methods selected? </w:t>
      </w:r>
      <w:r w:rsidDel="00000000" w:rsidR="00000000" w:rsidRPr="00000000">
        <w:rPr>
          <w:rFonts w:ascii="Times New Roman" w:cs="Times New Roman" w:eastAsia="Times New Roman" w:hAnsi="Times New Roman"/>
          <w:i w:val="1"/>
          <w:color w:val="000000"/>
          <w:sz w:val="24"/>
          <w:szCs w:val="24"/>
          <w:rtl w:val="0"/>
        </w:rPr>
        <w:t xml:space="preserve">Foresight </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10</w:t>
      </w:r>
      <w:r w:rsidDel="00000000" w:rsidR="00000000" w:rsidRPr="00000000">
        <w:rPr>
          <w:rFonts w:ascii="Times New Roman" w:cs="Times New Roman" w:eastAsia="Times New Roman" w:hAnsi="Times New Roman"/>
          <w:color w:val="000000"/>
          <w:sz w:val="24"/>
          <w:szCs w:val="24"/>
          <w:rtl w:val="0"/>
        </w:rPr>
        <w:t xml:space="preserve">(6), 62–89. https://doi.org/</w:t>
      </w:r>
      <w:hyperlink r:id="rId53">
        <w:r w:rsidDel="00000000" w:rsidR="00000000" w:rsidRPr="00000000">
          <w:rPr>
            <w:rFonts w:ascii="Times New Roman" w:cs="Times New Roman" w:eastAsia="Times New Roman" w:hAnsi="Times New Roman"/>
            <w:color w:val="000000"/>
            <w:sz w:val="24"/>
            <w:szCs w:val="24"/>
            <w:rtl w:val="0"/>
          </w:rPr>
          <w:t xml:space="preserve">10.1108/14636680810918586</w:t>
        </w:r>
      </w:hyperlink>
      <w:r w:rsidDel="00000000" w:rsidR="00000000" w:rsidRPr="00000000">
        <w:rPr>
          <w:rtl w:val="0"/>
        </w:rPr>
      </w:r>
    </w:p>
    <w:p w:rsidR="00000000" w:rsidDel="00000000" w:rsidP="00000000" w:rsidRDefault="00000000" w:rsidRPr="00000000" w14:paraId="0000010D">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Porat, A., &amp; Strahilevitz, L. J. (2013). Personalizing default rules and disclosure with big data. </w:t>
      </w:r>
      <w:r w:rsidDel="00000000" w:rsidR="00000000" w:rsidRPr="00000000">
        <w:rPr>
          <w:rFonts w:ascii="Times New Roman" w:cs="Times New Roman" w:eastAsia="Times New Roman" w:hAnsi="Times New Roman"/>
          <w:i w:val="1"/>
          <w:color w:val="000000"/>
          <w:sz w:val="24"/>
          <w:szCs w:val="24"/>
          <w:rtl w:val="0"/>
        </w:rPr>
        <w:t xml:space="preserve">Michigan Law Review</w:t>
      </w:r>
      <w:r w:rsidDel="00000000" w:rsidR="00000000" w:rsidRPr="00000000">
        <w:rPr>
          <w:rFonts w:ascii="Times New Roman" w:cs="Times New Roman" w:eastAsia="Times New Roman" w:hAnsi="Times New Roman"/>
          <w:color w:val="000000"/>
          <w:sz w:val="24"/>
          <w:szCs w:val="24"/>
          <w:rtl w:val="0"/>
        </w:rPr>
        <w:t xml:space="preserve">. 112(8),</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000000"/>
          <w:sz w:val="24"/>
          <w:szCs w:val="24"/>
          <w:rtl w:val="0"/>
        </w:rPr>
        <w:t xml:space="preserve">1417-1478</w:t>
      </w:r>
      <w:r w:rsidDel="00000000" w:rsidR="00000000" w:rsidRPr="00000000">
        <w:rPr>
          <w:rFonts w:ascii="Times New Roman" w:cs="Times New Roman" w:eastAsia="Times New Roman" w:hAnsi="Times New Roman"/>
          <w:sz w:val="24"/>
          <w:szCs w:val="24"/>
          <w:rtl w:val="0"/>
        </w:rPr>
        <w:t xml:space="preserve">. https://heinonline.org/HOL/P?h=hein.journals/mlr112&amp;i=1493</w:t>
      </w:r>
      <w:r w:rsidDel="00000000" w:rsidR="00000000" w:rsidRPr="00000000">
        <w:rPr>
          <w:rtl w:val="0"/>
        </w:rPr>
      </w:r>
    </w:p>
    <w:p w:rsidR="00000000" w:rsidDel="00000000" w:rsidP="00000000" w:rsidRDefault="00000000" w:rsidRPr="00000000" w14:paraId="0000010E">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Proctor, R. W., Ali, M. A., &amp; Vu, K.-P. L. (2008). Examining Usability of Web Privacy Policies. </w:t>
      </w:r>
      <w:r w:rsidDel="00000000" w:rsidR="00000000" w:rsidRPr="00000000">
        <w:rPr>
          <w:rFonts w:ascii="Times New Roman" w:cs="Times New Roman" w:eastAsia="Times New Roman" w:hAnsi="Times New Roman"/>
          <w:i w:val="1"/>
          <w:color w:val="000000"/>
          <w:sz w:val="24"/>
          <w:szCs w:val="24"/>
          <w:rtl w:val="0"/>
        </w:rPr>
        <w:t xml:space="preserve">International Journal of Human–Computer Interaction</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24</w:t>
      </w:r>
      <w:r w:rsidDel="00000000" w:rsidR="00000000" w:rsidRPr="00000000">
        <w:rPr>
          <w:rFonts w:ascii="Times New Roman" w:cs="Times New Roman" w:eastAsia="Times New Roman" w:hAnsi="Times New Roman"/>
          <w:color w:val="000000"/>
          <w:sz w:val="24"/>
          <w:szCs w:val="24"/>
          <w:rtl w:val="0"/>
        </w:rPr>
        <w:t xml:space="preserve">(3), 307–328. https://doi.org/</w:t>
      </w:r>
      <w:hyperlink r:id="rId54">
        <w:r w:rsidDel="00000000" w:rsidR="00000000" w:rsidRPr="00000000">
          <w:rPr>
            <w:rFonts w:ascii="Times New Roman" w:cs="Times New Roman" w:eastAsia="Times New Roman" w:hAnsi="Times New Roman"/>
            <w:color w:val="000000"/>
            <w:sz w:val="24"/>
            <w:szCs w:val="24"/>
            <w:rtl w:val="0"/>
          </w:rPr>
          <w:t xml:space="preserve">10.1080/10447310801937999</w:t>
        </w:r>
      </w:hyperlink>
      <w:r w:rsidDel="00000000" w:rsidR="00000000" w:rsidRPr="00000000">
        <w:rPr>
          <w:rtl w:val="0"/>
        </w:rPr>
      </w:r>
    </w:p>
    <w:p w:rsidR="00000000" w:rsidDel="00000000" w:rsidP="00000000" w:rsidRDefault="00000000" w:rsidRPr="00000000" w14:paraId="0000010F">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Quist, J. (2016). Backcasting. In </w:t>
      </w:r>
      <w:r w:rsidDel="00000000" w:rsidR="00000000" w:rsidRPr="00000000">
        <w:rPr>
          <w:rFonts w:ascii="Times New Roman" w:cs="Times New Roman" w:eastAsia="Times New Roman" w:hAnsi="Times New Roman"/>
          <w:i w:val="1"/>
          <w:color w:val="000000"/>
          <w:sz w:val="24"/>
          <w:szCs w:val="24"/>
          <w:rtl w:val="0"/>
        </w:rPr>
        <w:t xml:space="preserve">Foresight in Organizations</w:t>
      </w:r>
      <w:r w:rsidDel="00000000" w:rsidR="00000000" w:rsidRPr="00000000">
        <w:rPr>
          <w:rFonts w:ascii="Times New Roman" w:cs="Times New Roman" w:eastAsia="Times New Roman" w:hAnsi="Times New Roman"/>
          <w:color w:val="000000"/>
          <w:sz w:val="24"/>
          <w:szCs w:val="24"/>
          <w:rtl w:val="0"/>
        </w:rPr>
        <w:t xml:space="preserve"> (pp. 125–144). Routledge.</w:t>
      </w:r>
      <w:r w:rsidDel="00000000" w:rsidR="00000000" w:rsidRPr="00000000">
        <w:rPr>
          <w:rtl w:val="0"/>
        </w:rPr>
      </w:r>
    </w:p>
    <w:p w:rsidR="00000000" w:rsidDel="00000000" w:rsidP="00000000" w:rsidRDefault="00000000" w:rsidRPr="00000000" w14:paraId="00000110">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Rashidi, B., Fung, C., &amp; Vu, T. (2015). Dude, ask the experts!: Android resource access permission recommendation with RecDroid. </w:t>
      </w:r>
      <w:r w:rsidDel="00000000" w:rsidR="00000000" w:rsidRPr="00000000">
        <w:rPr>
          <w:rFonts w:ascii="Times New Roman" w:cs="Times New Roman" w:eastAsia="Times New Roman" w:hAnsi="Times New Roman"/>
          <w:i w:val="1"/>
          <w:color w:val="000000"/>
          <w:sz w:val="24"/>
          <w:szCs w:val="24"/>
          <w:rtl w:val="0"/>
        </w:rPr>
        <w:t xml:space="preserve">2015 IFIP/IEEE International Symposium on Integrated Network Management (IM)</w:t>
      </w:r>
      <w:r w:rsidDel="00000000" w:rsidR="00000000" w:rsidRPr="00000000">
        <w:rPr>
          <w:rFonts w:ascii="Times New Roman" w:cs="Times New Roman" w:eastAsia="Times New Roman" w:hAnsi="Times New Roman"/>
          <w:color w:val="000000"/>
          <w:sz w:val="24"/>
          <w:szCs w:val="24"/>
          <w:rtl w:val="0"/>
        </w:rPr>
        <w:t xml:space="preserve">, 296–304. https://doi.org/</w:t>
      </w:r>
      <w:hyperlink r:id="rId55">
        <w:r w:rsidDel="00000000" w:rsidR="00000000" w:rsidRPr="00000000">
          <w:rPr>
            <w:rFonts w:ascii="Times New Roman" w:cs="Times New Roman" w:eastAsia="Times New Roman" w:hAnsi="Times New Roman"/>
            <w:color w:val="000000"/>
            <w:sz w:val="24"/>
            <w:szCs w:val="24"/>
            <w:rtl w:val="0"/>
          </w:rPr>
          <w:t xml:space="preserve">10.1109/INM.2015.7140304</w:t>
        </w:r>
      </w:hyperlink>
      <w:r w:rsidDel="00000000" w:rsidR="00000000" w:rsidRPr="00000000">
        <w:rPr>
          <w:rtl w:val="0"/>
        </w:rPr>
      </w:r>
    </w:p>
    <w:p w:rsidR="00000000" w:rsidDel="00000000" w:rsidP="00000000" w:rsidRDefault="00000000" w:rsidRPr="00000000" w14:paraId="00000111">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Reidenberg, J. R., Breaux, T., Cranor, L. F., French, B., Grannis, A., Graves, J. T., Liu, F., McDonald, A., Norton, T. B., &amp; Ramanath, R. (2015). Disagreeable Privacy Policies: Mismatches between Meaning and Users’ Understanding. </w:t>
      </w:r>
      <w:r w:rsidDel="00000000" w:rsidR="00000000" w:rsidRPr="00000000">
        <w:rPr>
          <w:rFonts w:ascii="Times New Roman" w:cs="Times New Roman" w:eastAsia="Times New Roman" w:hAnsi="Times New Roman"/>
          <w:i w:val="1"/>
          <w:color w:val="000000"/>
          <w:sz w:val="24"/>
          <w:szCs w:val="24"/>
          <w:rtl w:val="0"/>
        </w:rPr>
        <w:t xml:space="preserve">Berkeley Technology Law Journal</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30</w:t>
      </w:r>
      <w:r w:rsidDel="00000000" w:rsidR="00000000" w:rsidRPr="00000000">
        <w:rPr>
          <w:rFonts w:ascii="Times New Roman" w:cs="Times New Roman" w:eastAsia="Times New Roman" w:hAnsi="Times New Roman"/>
          <w:color w:val="000000"/>
          <w:sz w:val="24"/>
          <w:szCs w:val="24"/>
          <w:rtl w:val="0"/>
        </w:rPr>
        <w:t xml:space="preserve">(1), 1–88. </w:t>
      </w:r>
      <w:hyperlink r:id="rId56">
        <w:r w:rsidDel="00000000" w:rsidR="00000000" w:rsidRPr="00000000">
          <w:rPr>
            <w:rFonts w:ascii="Times New Roman" w:cs="Times New Roman" w:eastAsia="Times New Roman" w:hAnsi="Times New Roman"/>
            <w:color w:val="000000"/>
            <w:sz w:val="24"/>
            <w:szCs w:val="24"/>
            <w:rtl w:val="0"/>
          </w:rPr>
          <w:t xml:space="preserve">https://heinonline.org/HOL/P?h=hein.journals/berktech30&amp;i=51</w:t>
        </w:r>
      </w:hyperlink>
      <w:r w:rsidDel="00000000" w:rsidR="00000000" w:rsidRPr="00000000">
        <w:rPr>
          <w:rtl w:val="0"/>
        </w:rPr>
      </w:r>
    </w:p>
    <w:p w:rsidR="00000000" w:rsidDel="00000000" w:rsidP="00000000" w:rsidRDefault="00000000" w:rsidRPr="00000000" w14:paraId="00000112">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Rossi, A., Ducato, R., Haapio, H., &amp; Passera, S. (2019). When design met law: design patterns for information transparency. </w:t>
      </w:r>
      <w:r w:rsidDel="00000000" w:rsidR="00000000" w:rsidRPr="00000000">
        <w:rPr>
          <w:rFonts w:ascii="Times New Roman" w:cs="Times New Roman" w:eastAsia="Times New Roman" w:hAnsi="Times New Roman"/>
          <w:i w:val="1"/>
          <w:sz w:val="24"/>
          <w:szCs w:val="24"/>
          <w:highlight w:val="white"/>
          <w:rtl w:val="0"/>
        </w:rPr>
        <w:t xml:space="preserve">Droit de la consommation</w:t>
      </w:r>
      <w:r w:rsidDel="00000000" w:rsidR="00000000" w:rsidRPr="00000000">
        <w:rPr>
          <w:rFonts w:ascii="Times New Roman" w:cs="Times New Roman" w:eastAsia="Times New Roman" w:hAnsi="Times New Roman"/>
          <w:sz w:val="24"/>
          <w:szCs w:val="24"/>
          <w:highlight w:val="white"/>
          <w:rtl w:val="0"/>
        </w:rPr>
        <w:t xml:space="preserve">, (1), 79-121.</w:t>
      </w:r>
      <w:r w:rsidDel="00000000" w:rsidR="00000000" w:rsidRPr="00000000">
        <w:rPr>
          <w:rtl w:val="0"/>
        </w:rPr>
      </w:r>
    </w:p>
    <w:p w:rsidR="00000000" w:rsidDel="00000000" w:rsidP="00000000" w:rsidRDefault="00000000" w:rsidRPr="00000000" w14:paraId="00000113">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Rossi, Arianna, Régis Chatellier, Stefano Leucci, Rossana Ducato, and Estelle Hary. (2022). What if data protection embraced foresight and speculative design? In Lockt on, D., Lenzi, S., Hekkert, P., Oak, A., Sádaba, J., Lloyd, P. (Ed.), </w:t>
      </w:r>
      <w:r w:rsidDel="00000000" w:rsidR="00000000" w:rsidRPr="00000000">
        <w:rPr>
          <w:rFonts w:ascii="Times New Roman" w:cs="Times New Roman" w:eastAsia="Times New Roman" w:hAnsi="Times New Roman"/>
          <w:i w:val="1"/>
          <w:sz w:val="24"/>
          <w:szCs w:val="24"/>
          <w:rtl w:val="0"/>
        </w:rPr>
        <w:t xml:space="preserve">DRS2022: Bilbao, 25 June - 3 July, Bilbao, Spain.</w:t>
      </w:r>
      <w:r w:rsidDel="00000000" w:rsidR="00000000" w:rsidRPr="00000000">
        <w:rPr>
          <w:rFonts w:ascii="Times New Roman" w:cs="Times New Roman" w:eastAsia="Times New Roman" w:hAnsi="Times New Roman"/>
          <w:color w:val="000000"/>
          <w:sz w:val="24"/>
          <w:szCs w:val="24"/>
          <w:rtl w:val="0"/>
        </w:rPr>
        <w:t xml:space="preserve">.https://doi.org/10.21606/drs.2022.681</w:t>
      </w:r>
    </w:p>
    <w:p w:rsidR="00000000" w:rsidDel="00000000" w:rsidP="00000000" w:rsidRDefault="00000000" w:rsidRPr="00000000" w14:paraId="00000114">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Sætra, H. S. (2020). Privacy as an aggregate public good. </w:t>
      </w:r>
      <w:r w:rsidDel="00000000" w:rsidR="00000000" w:rsidRPr="00000000">
        <w:rPr>
          <w:rFonts w:ascii="Times New Roman" w:cs="Times New Roman" w:eastAsia="Times New Roman" w:hAnsi="Times New Roman"/>
          <w:i w:val="1"/>
          <w:color w:val="000000"/>
          <w:sz w:val="24"/>
          <w:szCs w:val="24"/>
          <w:rtl w:val="0"/>
        </w:rPr>
        <w:t xml:space="preserve">Technology in Society</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63</w:t>
      </w:r>
      <w:r w:rsidDel="00000000" w:rsidR="00000000" w:rsidRPr="00000000">
        <w:rPr>
          <w:rFonts w:ascii="Times New Roman" w:cs="Times New Roman" w:eastAsia="Times New Roman" w:hAnsi="Times New Roman"/>
          <w:color w:val="000000"/>
          <w:sz w:val="24"/>
          <w:szCs w:val="24"/>
          <w:rtl w:val="0"/>
        </w:rPr>
        <w:t xml:space="preserve">(101422), 101422. https://doi.org/</w:t>
      </w:r>
      <w:hyperlink r:id="rId57">
        <w:r w:rsidDel="00000000" w:rsidR="00000000" w:rsidRPr="00000000">
          <w:rPr>
            <w:rFonts w:ascii="Times New Roman" w:cs="Times New Roman" w:eastAsia="Times New Roman" w:hAnsi="Times New Roman"/>
            <w:color w:val="000000"/>
            <w:sz w:val="24"/>
            <w:szCs w:val="24"/>
            <w:rtl w:val="0"/>
          </w:rPr>
          <w:t xml:space="preserve">10.1016/j.techsoc.2020.101422</w:t>
        </w:r>
      </w:hyperlink>
      <w:r w:rsidDel="00000000" w:rsidR="00000000" w:rsidRPr="00000000">
        <w:rPr>
          <w:rtl w:val="0"/>
        </w:rPr>
      </w:r>
    </w:p>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Schelenz, L., Segal, A., &amp; Gal, K. (2020). Best Practices for Transparency in Machine Generated Personalization. </w:t>
      </w:r>
      <w:r w:rsidDel="00000000" w:rsidR="00000000" w:rsidRPr="00000000">
        <w:rPr>
          <w:rFonts w:ascii="Times New Roman" w:cs="Times New Roman" w:eastAsia="Times New Roman" w:hAnsi="Times New Roman"/>
          <w:i w:val="1"/>
          <w:color w:val="000000"/>
          <w:sz w:val="24"/>
          <w:szCs w:val="24"/>
          <w:rtl w:val="0"/>
        </w:rPr>
        <w:t xml:space="preserve">Adjunct Publication of the 28th ACM Conference on User Modeling, Adaptation and Personalization</w:t>
      </w:r>
      <w:r w:rsidDel="00000000" w:rsidR="00000000" w:rsidRPr="00000000">
        <w:rPr>
          <w:rFonts w:ascii="Times New Roman" w:cs="Times New Roman" w:eastAsia="Times New Roman" w:hAnsi="Times New Roman"/>
          <w:color w:val="000000"/>
          <w:sz w:val="24"/>
          <w:szCs w:val="24"/>
          <w:rtl w:val="0"/>
        </w:rPr>
        <w:t xml:space="preserve">, 23–28. https://doi.org/</w:t>
      </w:r>
      <w:hyperlink r:id="rId58">
        <w:r w:rsidDel="00000000" w:rsidR="00000000" w:rsidRPr="00000000">
          <w:rPr>
            <w:rFonts w:ascii="Times New Roman" w:cs="Times New Roman" w:eastAsia="Times New Roman" w:hAnsi="Times New Roman"/>
            <w:color w:val="000000"/>
            <w:sz w:val="24"/>
            <w:szCs w:val="24"/>
            <w:rtl w:val="0"/>
          </w:rPr>
          <w:t xml:space="preserve">10.1145/3386392.3397593</w:t>
        </w:r>
      </w:hyperlink>
      <w:r w:rsidDel="00000000" w:rsidR="00000000" w:rsidRPr="00000000">
        <w:rPr>
          <w:rtl w:val="0"/>
        </w:rPr>
      </w:r>
    </w:p>
    <w:p w:rsidR="00000000" w:rsidDel="00000000" w:rsidP="00000000" w:rsidRDefault="00000000" w:rsidRPr="00000000" w14:paraId="00000116">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Siegal, G., Bonnie, R. J., &amp; Appelbaum, P. S. (2012). Personalized disclosure by information-on-demand: attending to patients’ needs in the informed consent process. </w:t>
      </w:r>
      <w:r w:rsidDel="00000000" w:rsidR="00000000" w:rsidRPr="00000000">
        <w:rPr>
          <w:rFonts w:ascii="Times New Roman" w:cs="Times New Roman" w:eastAsia="Times New Roman" w:hAnsi="Times New Roman"/>
          <w:i w:val="1"/>
          <w:color w:val="000000"/>
          <w:sz w:val="24"/>
          <w:szCs w:val="24"/>
          <w:rtl w:val="0"/>
        </w:rPr>
        <w:t xml:space="preserve">The Journal of Law, Medicine &amp; Ethics: A Journal of the American Society of Law, Medicine &amp; Ethics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40</w:t>
      </w:r>
      <w:r w:rsidDel="00000000" w:rsidR="00000000" w:rsidRPr="00000000">
        <w:rPr>
          <w:rFonts w:ascii="Times New Roman" w:cs="Times New Roman" w:eastAsia="Times New Roman" w:hAnsi="Times New Roman"/>
          <w:color w:val="000000"/>
          <w:sz w:val="24"/>
          <w:szCs w:val="24"/>
          <w:rtl w:val="0"/>
        </w:rPr>
        <w:t xml:space="preserve">(2), 359–367. https://doi.org/</w:t>
      </w:r>
      <w:hyperlink r:id="rId59">
        <w:r w:rsidDel="00000000" w:rsidR="00000000" w:rsidRPr="00000000">
          <w:rPr>
            <w:rFonts w:ascii="Times New Roman" w:cs="Times New Roman" w:eastAsia="Times New Roman" w:hAnsi="Times New Roman"/>
            <w:color w:val="000000"/>
            <w:sz w:val="24"/>
            <w:szCs w:val="24"/>
            <w:rtl w:val="0"/>
          </w:rPr>
          <w:t xml:space="preserve">10.1111/j.1748-720X.2012.00669.x</w:t>
        </w:r>
      </w:hyperlink>
      <w:r w:rsidDel="00000000" w:rsidR="00000000" w:rsidRPr="00000000">
        <w:rPr>
          <w:rtl w:val="0"/>
        </w:rPr>
      </w:r>
    </w:p>
    <w:p w:rsidR="00000000" w:rsidDel="00000000" w:rsidP="00000000" w:rsidRDefault="00000000" w:rsidRPr="00000000" w14:paraId="00000117">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Sloan, R. H., &amp; Warner, R. (2014). Beyond Notice and Choice: Privacy, Norms, and Consent. </w:t>
      </w:r>
      <w:r w:rsidDel="00000000" w:rsidR="00000000" w:rsidRPr="00000000">
        <w:rPr>
          <w:rFonts w:ascii="Times New Roman" w:cs="Times New Roman" w:eastAsia="Times New Roman" w:hAnsi="Times New Roman"/>
          <w:i w:val="1"/>
          <w:color w:val="000000"/>
          <w:sz w:val="24"/>
          <w:szCs w:val="24"/>
          <w:rtl w:val="0"/>
        </w:rPr>
        <w:t xml:space="preserve">Journal of High Technology Law</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14</w:t>
      </w:r>
      <w:r w:rsidDel="00000000" w:rsidR="00000000" w:rsidRPr="00000000">
        <w:rPr>
          <w:rFonts w:ascii="Times New Roman" w:cs="Times New Roman" w:eastAsia="Times New Roman" w:hAnsi="Times New Roman"/>
          <w:color w:val="000000"/>
          <w:sz w:val="24"/>
          <w:szCs w:val="24"/>
          <w:rtl w:val="0"/>
        </w:rPr>
        <w:t xml:space="preserve">(2), 370–414. </w:t>
      </w:r>
      <w:hyperlink r:id="rId60">
        <w:r w:rsidDel="00000000" w:rsidR="00000000" w:rsidRPr="00000000">
          <w:rPr>
            <w:rFonts w:ascii="Times New Roman" w:cs="Times New Roman" w:eastAsia="Times New Roman" w:hAnsi="Times New Roman"/>
            <w:color w:val="000000"/>
            <w:sz w:val="24"/>
            <w:szCs w:val="24"/>
            <w:rtl w:val="0"/>
          </w:rPr>
          <w:t xml:space="preserve">https://heinonline.org/HOL/P?h=hein.journals/jhtl14&amp;i=371</w:t>
        </w:r>
      </w:hyperlink>
      <w:r w:rsidDel="00000000" w:rsidR="00000000" w:rsidRPr="00000000">
        <w:rPr>
          <w:rtl w:val="0"/>
        </w:rPr>
      </w:r>
    </w:p>
    <w:p w:rsidR="00000000" w:rsidDel="00000000" w:rsidP="00000000" w:rsidRDefault="00000000" w:rsidRPr="00000000" w14:paraId="00000118">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Steinfeld, N. (2016). “I agree to the terms and conditions”: (How) do users read privacy policies online? An eye-tracking experiment. </w:t>
      </w:r>
      <w:r w:rsidDel="00000000" w:rsidR="00000000" w:rsidRPr="00000000">
        <w:rPr>
          <w:rFonts w:ascii="Times New Roman" w:cs="Times New Roman" w:eastAsia="Times New Roman" w:hAnsi="Times New Roman"/>
          <w:i w:val="1"/>
          <w:color w:val="000000"/>
          <w:sz w:val="24"/>
          <w:szCs w:val="24"/>
          <w:rtl w:val="0"/>
        </w:rPr>
        <w:t xml:space="preserve">Computers in Human Behavior</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55</w:t>
      </w:r>
      <w:r w:rsidDel="00000000" w:rsidR="00000000" w:rsidRPr="00000000">
        <w:rPr>
          <w:rFonts w:ascii="Times New Roman" w:cs="Times New Roman" w:eastAsia="Times New Roman" w:hAnsi="Times New Roman"/>
          <w:color w:val="000000"/>
          <w:sz w:val="24"/>
          <w:szCs w:val="24"/>
          <w:rtl w:val="0"/>
        </w:rPr>
        <w:t xml:space="preserve">, 992–1000. https://doi.org/</w:t>
      </w:r>
      <w:hyperlink r:id="rId61">
        <w:r w:rsidDel="00000000" w:rsidR="00000000" w:rsidRPr="00000000">
          <w:rPr>
            <w:rFonts w:ascii="Times New Roman" w:cs="Times New Roman" w:eastAsia="Times New Roman" w:hAnsi="Times New Roman"/>
            <w:color w:val="000000"/>
            <w:sz w:val="24"/>
            <w:szCs w:val="24"/>
            <w:rtl w:val="0"/>
          </w:rPr>
          <w:t xml:space="preserve">10.1016/j.chb.2015.09.038</w:t>
        </w:r>
      </w:hyperlink>
      <w:r w:rsidDel="00000000" w:rsidR="00000000" w:rsidRPr="00000000">
        <w:rPr>
          <w:rtl w:val="0"/>
        </w:rPr>
      </w:r>
    </w:p>
    <w:p w:rsidR="00000000" w:rsidDel="00000000" w:rsidP="00000000" w:rsidRDefault="00000000" w:rsidRPr="00000000" w14:paraId="00000119">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color w:val="0000ff"/>
          <w:sz w:val="24"/>
          <w:szCs w:val="24"/>
          <w:highlight w:val="white"/>
          <w:rtl w:val="0"/>
        </w:rPr>
        <w:t xml:space="preserve">Stöver, A., Hahn, S., Kretschmer, F., &amp; Gerber, N. (2023). Investigating how users imagine their personal privacy assistant. </w:t>
      </w:r>
      <w:r w:rsidDel="00000000" w:rsidR="00000000" w:rsidRPr="00000000">
        <w:rPr>
          <w:rFonts w:ascii="Times New Roman" w:cs="Times New Roman" w:eastAsia="Times New Roman" w:hAnsi="Times New Roman"/>
          <w:i w:val="1"/>
          <w:color w:val="0000ff"/>
          <w:sz w:val="24"/>
          <w:szCs w:val="24"/>
          <w:highlight w:val="white"/>
          <w:rtl w:val="0"/>
        </w:rPr>
        <w:t xml:space="preserve">Proceedings on Privacy Enhancing Technologies</w:t>
      </w:r>
      <w:r w:rsidDel="00000000" w:rsidR="00000000" w:rsidRPr="00000000">
        <w:rPr>
          <w:rFonts w:ascii="Times New Roman" w:cs="Times New Roman" w:eastAsia="Times New Roman" w:hAnsi="Times New Roman"/>
          <w:color w:val="0000ff"/>
          <w:sz w:val="24"/>
          <w:szCs w:val="24"/>
          <w:highlight w:val="white"/>
          <w:rtl w:val="0"/>
        </w:rPr>
        <w:t xml:space="preserve">. https://doi.org/10.56553/popets-2023-0059</w:t>
      </w:r>
      <w:r w:rsidDel="00000000" w:rsidR="00000000" w:rsidRPr="00000000">
        <w:rPr>
          <w:rtl w:val="0"/>
        </w:rPr>
      </w:r>
    </w:p>
    <w:p w:rsidR="00000000" w:rsidDel="00000000" w:rsidP="00000000" w:rsidRDefault="00000000" w:rsidRPr="00000000" w14:paraId="0000011A">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Tamò-Larrieux, A. (2021). Decision-making by machines: Is the “Law of Everything” enough? </w:t>
      </w:r>
      <w:r w:rsidDel="00000000" w:rsidR="00000000" w:rsidRPr="00000000">
        <w:rPr>
          <w:rFonts w:ascii="Times New Roman" w:cs="Times New Roman" w:eastAsia="Times New Roman" w:hAnsi="Times New Roman"/>
          <w:i w:val="1"/>
          <w:color w:val="000000"/>
          <w:sz w:val="24"/>
          <w:szCs w:val="24"/>
          <w:rtl w:val="0"/>
        </w:rPr>
        <w:t xml:space="preserve">Computer Law and Security Report</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41</w:t>
      </w:r>
      <w:r w:rsidDel="00000000" w:rsidR="00000000" w:rsidRPr="00000000">
        <w:rPr>
          <w:rFonts w:ascii="Times New Roman" w:cs="Times New Roman" w:eastAsia="Times New Roman" w:hAnsi="Times New Roman"/>
          <w:color w:val="000000"/>
          <w:sz w:val="24"/>
          <w:szCs w:val="24"/>
          <w:rtl w:val="0"/>
        </w:rPr>
        <w:t xml:space="preserve">(105541), 105541. https://doi.org/</w:t>
      </w:r>
      <w:hyperlink r:id="rId62">
        <w:r w:rsidDel="00000000" w:rsidR="00000000" w:rsidRPr="00000000">
          <w:rPr>
            <w:rFonts w:ascii="Times New Roman" w:cs="Times New Roman" w:eastAsia="Times New Roman" w:hAnsi="Times New Roman"/>
            <w:color w:val="000000"/>
            <w:sz w:val="24"/>
            <w:szCs w:val="24"/>
            <w:rtl w:val="0"/>
          </w:rPr>
          <w:t xml:space="preserve">10.1016/j.clsr.2021.105541</w:t>
        </w:r>
      </w:hyperlink>
      <w:r w:rsidDel="00000000" w:rsidR="00000000" w:rsidRPr="00000000">
        <w:rPr>
          <w:rtl w:val="0"/>
        </w:rPr>
      </w:r>
    </w:p>
    <w:p w:rsidR="00000000" w:rsidDel="00000000" w:rsidP="00000000" w:rsidRDefault="00000000" w:rsidRPr="00000000" w14:paraId="0000011B">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Tufekci, Z. (2015). Algorithmic harms beyond Facebook and Google: Emergent challenges of computational agency symposium essays. </w:t>
      </w:r>
      <w:r w:rsidDel="00000000" w:rsidR="00000000" w:rsidRPr="00000000">
        <w:rPr>
          <w:rFonts w:ascii="Times New Roman" w:cs="Times New Roman" w:eastAsia="Times New Roman" w:hAnsi="Times New Roman"/>
          <w:i w:val="1"/>
          <w:color w:val="000000"/>
          <w:sz w:val="24"/>
          <w:szCs w:val="24"/>
          <w:rtl w:val="0"/>
        </w:rPr>
        <w:t xml:space="preserve">Colorado Technology Law Journal</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13</w:t>
      </w:r>
      <w:r w:rsidDel="00000000" w:rsidR="00000000" w:rsidRPr="00000000">
        <w:rPr>
          <w:rFonts w:ascii="Times New Roman" w:cs="Times New Roman" w:eastAsia="Times New Roman" w:hAnsi="Times New Roman"/>
          <w:color w:val="000000"/>
          <w:sz w:val="24"/>
          <w:szCs w:val="24"/>
          <w:rtl w:val="0"/>
        </w:rPr>
        <w:t xml:space="preserve">(2), 203–218. https://heinonline.org/HOL/P?h=hein.journals/jtelhtel13&amp;i=227</w:t>
      </w:r>
    </w:p>
    <w:p w:rsidR="00000000" w:rsidDel="00000000" w:rsidP="00000000" w:rsidRDefault="00000000" w:rsidRPr="00000000" w14:paraId="0000011C">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Vail, M. W., Earp, J. B., &amp; Anton, A. I. (2008). An Empirical Study of Consumer Perceptions and Comprehension of Web Site Privacy Policies. </w:t>
      </w:r>
      <w:r w:rsidDel="00000000" w:rsidR="00000000" w:rsidRPr="00000000">
        <w:rPr>
          <w:rFonts w:ascii="Times New Roman" w:cs="Times New Roman" w:eastAsia="Times New Roman" w:hAnsi="Times New Roman"/>
          <w:i w:val="1"/>
          <w:color w:val="000000"/>
          <w:sz w:val="24"/>
          <w:szCs w:val="24"/>
          <w:rtl w:val="0"/>
        </w:rPr>
        <w:t xml:space="preserve">IEEE Transactions on Engineering Management</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55</w:t>
      </w:r>
      <w:r w:rsidDel="00000000" w:rsidR="00000000" w:rsidRPr="00000000">
        <w:rPr>
          <w:rFonts w:ascii="Times New Roman" w:cs="Times New Roman" w:eastAsia="Times New Roman" w:hAnsi="Times New Roman"/>
          <w:color w:val="000000"/>
          <w:sz w:val="24"/>
          <w:szCs w:val="24"/>
          <w:rtl w:val="0"/>
        </w:rPr>
        <w:t xml:space="preserve">(3), 442–454. https://doi.org/</w:t>
      </w:r>
      <w:hyperlink r:id="rId63">
        <w:r w:rsidDel="00000000" w:rsidR="00000000" w:rsidRPr="00000000">
          <w:rPr>
            <w:rFonts w:ascii="Times New Roman" w:cs="Times New Roman" w:eastAsia="Times New Roman" w:hAnsi="Times New Roman"/>
            <w:color w:val="000000"/>
            <w:sz w:val="24"/>
            <w:szCs w:val="24"/>
            <w:rtl w:val="0"/>
          </w:rPr>
          <w:t xml:space="preserve">10.1109/TEM.2008.922634</w:t>
        </w:r>
      </w:hyperlink>
      <w:r w:rsidDel="00000000" w:rsidR="00000000" w:rsidRPr="00000000">
        <w:rPr>
          <w:rtl w:val="0"/>
        </w:rPr>
      </w:r>
    </w:p>
    <w:p w:rsidR="00000000" w:rsidDel="00000000" w:rsidP="00000000" w:rsidRDefault="00000000" w:rsidRPr="00000000" w14:paraId="0000011D">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Vergragt, P. J., &amp; Quist, J. (2011). Backcasting for sustainability: Introduction to the special issue. </w:t>
      </w:r>
      <w:r w:rsidDel="00000000" w:rsidR="00000000" w:rsidRPr="00000000">
        <w:rPr>
          <w:rFonts w:ascii="Times New Roman" w:cs="Times New Roman" w:eastAsia="Times New Roman" w:hAnsi="Times New Roman"/>
          <w:i w:val="1"/>
          <w:color w:val="000000"/>
          <w:sz w:val="24"/>
          <w:szCs w:val="24"/>
          <w:rtl w:val="0"/>
        </w:rPr>
        <w:t xml:space="preserve">Technological Forecasting and Social Change</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78</w:t>
      </w:r>
      <w:r w:rsidDel="00000000" w:rsidR="00000000" w:rsidRPr="00000000">
        <w:rPr>
          <w:rFonts w:ascii="Times New Roman" w:cs="Times New Roman" w:eastAsia="Times New Roman" w:hAnsi="Times New Roman"/>
          <w:color w:val="000000"/>
          <w:sz w:val="24"/>
          <w:szCs w:val="24"/>
          <w:rtl w:val="0"/>
        </w:rPr>
        <w:t xml:space="preserve">(5), 747–755. https://doi.org/</w:t>
      </w:r>
      <w:hyperlink r:id="rId64">
        <w:r w:rsidDel="00000000" w:rsidR="00000000" w:rsidRPr="00000000">
          <w:rPr>
            <w:rFonts w:ascii="Times New Roman" w:cs="Times New Roman" w:eastAsia="Times New Roman" w:hAnsi="Times New Roman"/>
            <w:color w:val="000000"/>
            <w:sz w:val="24"/>
            <w:szCs w:val="24"/>
            <w:rtl w:val="0"/>
          </w:rPr>
          <w:t xml:space="preserve">10.1016/j.techfore.2011.03.010</w:t>
        </w:r>
      </w:hyperlink>
      <w:r w:rsidDel="00000000" w:rsidR="00000000" w:rsidRPr="00000000">
        <w:rPr>
          <w:rtl w:val="0"/>
        </w:rPr>
      </w:r>
    </w:p>
    <w:p w:rsidR="00000000" w:rsidDel="00000000" w:rsidP="00000000" w:rsidRDefault="00000000" w:rsidRPr="00000000" w14:paraId="0000011E">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Vu, K.-P. L., Chambers, V., Garcia, F. P., Creekmur, B., Sulaitis, J., Nelson, D., Pierce, R., &amp; Proctor, R. W. (2007). How Users Read and Comprehend Privacy Policies. </w:t>
      </w:r>
      <w:r w:rsidDel="00000000" w:rsidR="00000000" w:rsidRPr="00000000">
        <w:rPr>
          <w:rFonts w:ascii="Times New Roman" w:cs="Times New Roman" w:eastAsia="Times New Roman" w:hAnsi="Times New Roman"/>
          <w:i w:val="1"/>
          <w:color w:val="000000"/>
          <w:sz w:val="24"/>
          <w:szCs w:val="24"/>
          <w:rtl w:val="0"/>
        </w:rPr>
        <w:t xml:space="preserve">Human Interface and the Management of Information. Interacting in Information Environments</w:t>
      </w:r>
      <w:r w:rsidDel="00000000" w:rsidR="00000000" w:rsidRPr="00000000">
        <w:rPr>
          <w:rFonts w:ascii="Times New Roman" w:cs="Times New Roman" w:eastAsia="Times New Roman" w:hAnsi="Times New Roman"/>
          <w:color w:val="000000"/>
          <w:sz w:val="24"/>
          <w:szCs w:val="24"/>
          <w:rtl w:val="0"/>
        </w:rPr>
        <w:t xml:space="preserve">, 802–811. https://doi.org/</w:t>
      </w:r>
      <w:hyperlink r:id="rId65">
        <w:r w:rsidDel="00000000" w:rsidR="00000000" w:rsidRPr="00000000">
          <w:rPr>
            <w:rFonts w:ascii="Times New Roman" w:cs="Times New Roman" w:eastAsia="Times New Roman" w:hAnsi="Times New Roman"/>
            <w:color w:val="000000"/>
            <w:sz w:val="24"/>
            <w:szCs w:val="24"/>
            <w:rtl w:val="0"/>
          </w:rPr>
          <w:t xml:space="preserve">10.1007/978-3-540-73354-6_88</w:t>
        </w:r>
      </w:hyperlink>
      <w:r w:rsidDel="00000000" w:rsidR="00000000" w:rsidRPr="00000000">
        <w:rPr>
          <w:rtl w:val="0"/>
        </w:rPr>
      </w:r>
    </w:p>
    <w:p w:rsidR="00000000" w:rsidDel="00000000" w:rsidP="00000000" w:rsidRDefault="00000000" w:rsidRPr="00000000" w14:paraId="0000011F">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Wang, Y., Gou, L., Xu, A., Zhou, M. X., Yang, H., &amp; Badenes, H. (2015). VeilMe: An Interactive Visualization Tool for Privacy Configuration of Using Personality Traits. </w:t>
      </w:r>
      <w:r w:rsidDel="00000000" w:rsidR="00000000" w:rsidRPr="00000000">
        <w:rPr>
          <w:rFonts w:ascii="Times New Roman" w:cs="Times New Roman" w:eastAsia="Times New Roman" w:hAnsi="Times New Roman"/>
          <w:i w:val="1"/>
          <w:color w:val="000000"/>
          <w:sz w:val="24"/>
          <w:szCs w:val="24"/>
          <w:rtl w:val="0"/>
        </w:rPr>
        <w:t xml:space="preserve">Proceedings of the 33rd Annual ACM Conference on Human Factors in Computing Systems</w:t>
      </w:r>
      <w:r w:rsidDel="00000000" w:rsidR="00000000" w:rsidRPr="00000000">
        <w:rPr>
          <w:rFonts w:ascii="Times New Roman" w:cs="Times New Roman" w:eastAsia="Times New Roman" w:hAnsi="Times New Roman"/>
          <w:color w:val="000000"/>
          <w:sz w:val="24"/>
          <w:szCs w:val="24"/>
          <w:rtl w:val="0"/>
        </w:rPr>
        <w:t xml:space="preserve">, 817–826. https://doi.org/</w:t>
      </w:r>
      <w:hyperlink r:id="rId66">
        <w:r w:rsidDel="00000000" w:rsidR="00000000" w:rsidRPr="00000000">
          <w:rPr>
            <w:rFonts w:ascii="Times New Roman" w:cs="Times New Roman" w:eastAsia="Times New Roman" w:hAnsi="Times New Roman"/>
            <w:color w:val="000000"/>
            <w:sz w:val="24"/>
            <w:szCs w:val="24"/>
            <w:rtl w:val="0"/>
          </w:rPr>
          <w:t xml:space="preserve">10.1145/2702123.2702293</w:t>
        </w:r>
      </w:hyperlink>
      <w:r w:rsidDel="00000000" w:rsidR="00000000" w:rsidRPr="00000000">
        <w:rPr>
          <w:rtl w:val="0"/>
        </w:rPr>
      </w:r>
    </w:p>
    <w:p w:rsidR="00000000" w:rsidDel="00000000" w:rsidP="00000000" w:rsidRDefault="00000000" w:rsidRPr="00000000" w14:paraId="00000120">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Wettlaufer, J., &amp; Simo, H. (2020). Decision Support for Mobile App Selection via Automated Privacy Assessment. In M. Friedewald, M. Önen, E. Lievens, S. Krenn, &amp; S. Fricker (Eds.), </w:t>
      </w:r>
      <w:r w:rsidDel="00000000" w:rsidR="00000000" w:rsidRPr="00000000">
        <w:rPr>
          <w:rFonts w:ascii="Times New Roman" w:cs="Times New Roman" w:eastAsia="Times New Roman" w:hAnsi="Times New Roman"/>
          <w:i w:val="1"/>
          <w:color w:val="000000"/>
          <w:sz w:val="24"/>
          <w:szCs w:val="24"/>
          <w:rtl w:val="0"/>
        </w:rPr>
        <w:t xml:space="preserve">Privacy and Identity Management. Data for Better Living: AI and Privacy: 14th IFIP WG 9.2, 9.6/11.7, 11.6/SIG 9.2.2 International Summer School, Windisch, Switzerland, August 19–23, 2019, Revised Selected Papers</w:t>
      </w:r>
      <w:r w:rsidDel="00000000" w:rsidR="00000000" w:rsidRPr="00000000">
        <w:rPr>
          <w:rFonts w:ascii="Times New Roman" w:cs="Times New Roman" w:eastAsia="Times New Roman" w:hAnsi="Times New Roman"/>
          <w:color w:val="000000"/>
          <w:sz w:val="24"/>
          <w:szCs w:val="24"/>
          <w:rtl w:val="0"/>
        </w:rPr>
        <w:t xml:space="preserve"> (pp. 292–307). Springer International Publishing. https://doi.org/</w:t>
      </w:r>
      <w:hyperlink r:id="rId67">
        <w:r w:rsidDel="00000000" w:rsidR="00000000" w:rsidRPr="00000000">
          <w:rPr>
            <w:rFonts w:ascii="Times New Roman" w:cs="Times New Roman" w:eastAsia="Times New Roman" w:hAnsi="Times New Roman"/>
            <w:color w:val="000000"/>
            <w:sz w:val="24"/>
            <w:szCs w:val="24"/>
            <w:rtl w:val="0"/>
          </w:rPr>
          <w:t xml:space="preserve">10.1007/978-3-030-42504-3_19</w:t>
        </w:r>
      </w:hyperlink>
      <w:r w:rsidDel="00000000" w:rsidR="00000000" w:rsidRPr="00000000">
        <w:rPr>
          <w:rtl w:val="0"/>
        </w:rPr>
      </w:r>
    </w:p>
    <w:p w:rsidR="00000000" w:rsidDel="00000000" w:rsidP="00000000" w:rsidRDefault="00000000" w:rsidRPr="00000000" w14:paraId="00000121">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Wisniewski, P. J., Knijnenburg, B. P., &amp; Lipford, H. R. (2017). Making privacy personal: Profiling social network users to inform privacy education and nudging. </w:t>
      </w:r>
      <w:r w:rsidDel="00000000" w:rsidR="00000000" w:rsidRPr="00000000">
        <w:rPr>
          <w:rFonts w:ascii="Times New Roman" w:cs="Times New Roman" w:eastAsia="Times New Roman" w:hAnsi="Times New Roman"/>
          <w:i w:val="1"/>
          <w:color w:val="000000"/>
          <w:sz w:val="24"/>
          <w:szCs w:val="24"/>
          <w:rtl w:val="0"/>
        </w:rPr>
        <w:t xml:space="preserve">International Journal of Human-Computer Studies</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000000"/>
          <w:sz w:val="24"/>
          <w:szCs w:val="24"/>
          <w:rtl w:val="0"/>
        </w:rPr>
        <w:t xml:space="preserve">98</w:t>
      </w:r>
      <w:r w:rsidDel="00000000" w:rsidR="00000000" w:rsidRPr="00000000">
        <w:rPr>
          <w:rFonts w:ascii="Times New Roman" w:cs="Times New Roman" w:eastAsia="Times New Roman" w:hAnsi="Times New Roman"/>
          <w:color w:val="000000"/>
          <w:sz w:val="24"/>
          <w:szCs w:val="24"/>
          <w:rtl w:val="0"/>
        </w:rPr>
        <w:t xml:space="preserve">, 95–108. https://doi.org/</w:t>
      </w:r>
      <w:hyperlink r:id="rId68">
        <w:r w:rsidDel="00000000" w:rsidR="00000000" w:rsidRPr="00000000">
          <w:rPr>
            <w:rFonts w:ascii="Times New Roman" w:cs="Times New Roman" w:eastAsia="Times New Roman" w:hAnsi="Times New Roman"/>
            <w:color w:val="000000"/>
            <w:sz w:val="24"/>
            <w:szCs w:val="24"/>
            <w:rtl w:val="0"/>
          </w:rPr>
          <w:t xml:space="preserve">10.1016/j.ijhcs.2016.09.006</w:t>
        </w:r>
      </w:hyperlink>
      <w:r w:rsidDel="00000000" w:rsidR="00000000" w:rsidRPr="00000000">
        <w:rPr>
          <w:rtl w:val="0"/>
        </w:rPr>
      </w:r>
    </w:p>
    <w:p w:rsidR="00000000" w:rsidDel="00000000" w:rsidP="00000000" w:rsidRDefault="00000000" w:rsidRPr="00000000" w14:paraId="00000122">
      <w:pPr>
        <w:widowControl w:val="0"/>
        <w:pBdr>
          <w:top w:space="0" w:sz="0" w:val="nil"/>
          <w:left w:space="0" w:sz="0" w:val="nil"/>
          <w:bottom w:space="0" w:sz="0" w:val="nil"/>
          <w:right w:space="0" w:sz="0" w:val="nil"/>
          <w:between w:space="0" w:sz="0" w:val="nil"/>
        </w:pBdr>
        <w:shd w:fill="auto" w:val="clear"/>
        <w:spacing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Xu, M., Jug, Ž., &amp; Tamò-Larrieux, A. (2024). A cross-cultural analysis of transparency: the interplay of law, privacy policies, and user perceptions. </w:t>
      </w:r>
      <w:r w:rsidDel="00000000" w:rsidR="00000000" w:rsidRPr="00000000">
        <w:rPr>
          <w:rFonts w:ascii="Times New Roman" w:cs="Times New Roman" w:eastAsia="Times New Roman" w:hAnsi="Times New Roman"/>
          <w:i w:val="1"/>
          <w:color w:val="000000"/>
          <w:sz w:val="24"/>
          <w:szCs w:val="24"/>
          <w:rtl w:val="0"/>
        </w:rPr>
        <w:t xml:space="preserve">International Data Privacy Law</w:t>
      </w: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Fonts w:ascii="Times New Roman" w:cs="Times New Roman" w:eastAsia="Times New Roman" w:hAnsi="Times New Roman"/>
          <w:i w:val="1"/>
          <w:color w:val="222222"/>
          <w:highlight w:val="white"/>
          <w:rtl w:val="0"/>
        </w:rPr>
        <w:t xml:space="preserve">14</w:t>
      </w:r>
      <w:r w:rsidDel="00000000" w:rsidR="00000000" w:rsidRPr="00000000">
        <w:rPr>
          <w:rFonts w:ascii="Times New Roman" w:cs="Times New Roman" w:eastAsia="Times New Roman" w:hAnsi="Times New Roman"/>
          <w:color w:val="222222"/>
          <w:highlight w:val="white"/>
          <w:rtl w:val="0"/>
        </w:rPr>
        <w:t xml:space="preserve">(3), 197-222</w:t>
      </w:r>
      <w:r w:rsidDel="00000000" w:rsidR="00000000" w:rsidRPr="00000000">
        <w:rPr>
          <w:rFonts w:ascii="Times New Roman" w:cs="Times New Roman" w:eastAsia="Times New Roman" w:hAnsi="Times New Roman"/>
          <w:color w:val="000000"/>
          <w:sz w:val="24"/>
          <w:szCs w:val="24"/>
          <w:rtl w:val="0"/>
        </w:rPr>
        <w:t xml:space="preserve">. https://doi.org/</w:t>
      </w:r>
      <w:hyperlink r:id="rId69">
        <w:r w:rsidDel="00000000" w:rsidR="00000000" w:rsidRPr="00000000">
          <w:rPr>
            <w:rFonts w:ascii="Times New Roman" w:cs="Times New Roman" w:eastAsia="Times New Roman" w:hAnsi="Times New Roman"/>
            <w:color w:val="000000"/>
            <w:sz w:val="24"/>
            <w:szCs w:val="24"/>
            <w:rtl w:val="0"/>
          </w:rPr>
          <w:t xml:space="preserve">10.1093/idpl/ipae011</w:t>
        </w:r>
      </w:hyperlink>
      <w:r w:rsidDel="00000000" w:rsidR="00000000" w:rsidRPr="00000000">
        <w:rPr>
          <w:rtl w:val="0"/>
        </w:rPr>
      </w:r>
    </w:p>
    <w:p w:rsidR="00000000" w:rsidDel="00000000" w:rsidP="00000000" w:rsidRDefault="00000000" w:rsidRPr="00000000" w14:paraId="00000123">
      <w:pPr>
        <w:widowControl w:val="0"/>
        <w:pBdr>
          <w:top w:space="0" w:sz="0" w:val="nil"/>
          <w:left w:space="0" w:sz="0" w:val="nil"/>
          <w:bottom w:space="0" w:sz="0" w:val="nil"/>
          <w:right w:space="0" w:sz="0" w:val="nil"/>
          <w:between w:space="0" w:sz="0" w:val="nil"/>
        </w:pBdr>
        <w:shd w:fill="auto" w:val="clear"/>
        <w:spacing w:after="220" w:line="480" w:lineRule="auto"/>
        <w:ind w:left="440" w:hanging="440"/>
        <w:jc w:val="left"/>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Zuboff, S. (2019). </w:t>
      </w:r>
      <w:r w:rsidDel="00000000" w:rsidR="00000000" w:rsidRPr="00000000">
        <w:rPr>
          <w:rFonts w:ascii="Times New Roman" w:cs="Times New Roman" w:eastAsia="Times New Roman" w:hAnsi="Times New Roman"/>
          <w:i w:val="1"/>
          <w:color w:val="000000"/>
          <w:sz w:val="24"/>
          <w:szCs w:val="24"/>
          <w:rtl w:val="0"/>
        </w:rPr>
        <w:t xml:space="preserve">The Age of Surveillance Capitalism: The Fight for a Human Future at the New Frontier of Power</w:t>
      </w:r>
      <w:r w:rsidDel="00000000" w:rsidR="00000000" w:rsidRPr="00000000">
        <w:rPr>
          <w:rFonts w:ascii="Times New Roman" w:cs="Times New Roman" w:eastAsia="Times New Roman" w:hAnsi="Times New Roman"/>
          <w:color w:val="000000"/>
          <w:sz w:val="24"/>
          <w:szCs w:val="24"/>
          <w:rtl w:val="0"/>
        </w:rPr>
        <w:t xml:space="preserve">. PublicAffairs. </w:t>
      </w:r>
    </w:p>
    <w:p w:rsidR="00000000" w:rsidDel="00000000" w:rsidP="00000000" w:rsidRDefault="00000000" w:rsidRPr="00000000" w14:paraId="00000124">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26">
      <w:pPr>
        <w:pStyle w:val="Heading1"/>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Appendix I. Prompts used for the focus groups</w:t>
      </w:r>
    </w:p>
    <w:p w:rsidR="00000000" w:rsidDel="00000000" w:rsidP="00000000" w:rsidRDefault="00000000" w:rsidRPr="00000000" w14:paraId="0000012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1. Prompt used to describe a personalized privacy assistant </w:t>
      </w:r>
    </w:p>
    <w:p w:rsidR="00000000" w:rsidDel="00000000" w:rsidP="00000000" w:rsidRDefault="00000000" w:rsidRPr="00000000" w14:paraId="00000128">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129">
      <w:pPr>
        <w:widowControl w:val="0"/>
        <w:shd w:fill="auto" w:val="clear"/>
        <w:spacing w:after="220" w:line="276" w:lineRule="auto"/>
        <w:ind w:left="440" w:hanging="44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rtl w:val="0"/>
        </w:rPr>
        <w:t xml:space="preserve">Figure 2. Prompt on personalized privacy assistant continued </w:t>
      </w:r>
    </w:p>
    <w:p w:rsidR="00000000" w:rsidDel="00000000" w:rsidP="00000000" w:rsidRDefault="00000000" w:rsidRPr="00000000" w14:paraId="0000012A">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widowControl w:val="0"/>
        <w:shd w:fill="auto" w:val="clear"/>
        <w:spacing w:after="220" w:line="276" w:lineRule="auto"/>
        <w:ind w:left="440" w:hanging="44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Figure 3. Prompt to describe different levels of automation for PPA setup </w:t>
      </w:r>
    </w:p>
    <w:p w:rsidR="00000000" w:rsidDel="00000000" w:rsidP="00000000" w:rsidRDefault="00000000" w:rsidRPr="00000000" w14:paraId="0000012C">
      <w:pPr>
        <w:widowControl w:val="0"/>
        <w:shd w:fill="auto" w:val="clear"/>
        <w:spacing w:after="220" w:line="276" w:lineRule="auto"/>
        <w:ind w:left="440" w:hanging="44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r>
    </w:p>
    <w:p w:rsidR="00000000" w:rsidDel="00000000" w:rsidP="00000000" w:rsidRDefault="00000000" w:rsidRPr="00000000" w14:paraId="0000012D">
      <w:pPr>
        <w:widowControl w:val="0"/>
        <w:shd w:fill="auto" w:val="clear"/>
        <w:spacing w:after="220" w:line="276" w:lineRule="auto"/>
        <w:ind w:left="44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4. Description of a hybrid manual-automated setup used for the second focus group </w:t>
      </w:r>
    </w:p>
    <w:p w:rsidR="00000000" w:rsidDel="00000000" w:rsidP="00000000" w:rsidRDefault="00000000" w:rsidRPr="00000000" w14:paraId="0000012E">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32">
      <w:pPr>
        <w:pStyle w:val="Heading1"/>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Appendix II. The questions used in the focus groups</w:t>
      </w:r>
    </w:p>
    <w:p w:rsidR="00000000" w:rsidDel="00000000" w:rsidP="00000000" w:rsidRDefault="00000000" w:rsidRPr="00000000" w14:paraId="00000133">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Focus group 1</w:t>
      </w:r>
    </w:p>
    <w:tbl>
      <w:tblPr>
        <w:tblStyle w:val="Table2"/>
        <w:tblW w:w="9195.0" w:type="dxa"/>
        <w:jc w:val="left"/>
        <w:tblLayout w:type="fixed"/>
        <w:tblLook w:val="0400"/>
      </w:tblPr>
      <w:tblGrid>
        <w:gridCol w:w="1485"/>
        <w:gridCol w:w="7710"/>
        <w:tblGridChange w:id="0">
          <w:tblGrid>
            <w:gridCol w:w="1485"/>
            <w:gridCol w:w="7710"/>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4">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Dimension</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5">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Questions</w:t>
            </w:r>
            <w:r w:rsidDel="00000000" w:rsidR="00000000" w:rsidRPr="00000000">
              <w:rPr>
                <w:rtl w:val="0"/>
              </w:rPr>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6">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Accuracy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7">
            <w:pPr>
              <w:widowControl w:val="0"/>
              <w:numPr>
                <w:ilvl w:val="0"/>
                <w:numId w:val="1"/>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do we ensure the accuracy of privacy assistants’ decisions on protecting our privacy?</w:t>
            </w:r>
          </w:p>
          <w:p w:rsidR="00000000" w:rsidDel="00000000" w:rsidP="00000000" w:rsidRDefault="00000000" w:rsidRPr="00000000" w14:paraId="00000138">
            <w:pPr>
              <w:widowControl w:val="0"/>
              <w:numPr>
                <w:ilvl w:val="0"/>
                <w:numId w:val="1"/>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will accuracy be measured? Based on which criteria and on which data? By whom?</w:t>
            </w:r>
          </w:p>
          <w:p w:rsidR="00000000" w:rsidDel="00000000" w:rsidP="00000000" w:rsidRDefault="00000000" w:rsidRPr="00000000" w14:paraId="00000139">
            <w:pPr>
              <w:widowControl w:val="0"/>
              <w:numPr>
                <w:ilvl w:val="0"/>
                <w:numId w:val="1"/>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it be possible to go beyond our past preferences and behaviors toward different privacy settings? Are these tools potentially leading to freezing our preferences to a certain date or creating bubbles of “our past selves”? How can we avoid this?</w:t>
            </w:r>
          </w:p>
          <w:p w:rsidR="00000000" w:rsidDel="00000000" w:rsidP="00000000" w:rsidRDefault="00000000" w:rsidRPr="00000000" w14:paraId="0000013A">
            <w:pPr>
              <w:widowControl w:val="0"/>
              <w:numPr>
                <w:ilvl w:val="0"/>
                <w:numId w:val="1"/>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might our personal preferences, attitudes, and expectations be abused?</w:t>
            </w:r>
          </w:p>
          <w:p w:rsidR="00000000" w:rsidDel="00000000" w:rsidP="00000000" w:rsidRDefault="00000000" w:rsidRPr="00000000" w14:paraId="0000013B">
            <w:pPr>
              <w:widowControl w:val="0"/>
              <w:numPr>
                <w:ilvl w:val="0"/>
                <w:numId w:val="1"/>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might we ensure the right to have fake data or profiles, i.e., not being transparent and self-determining our image and information? E.g., to boost our careers, to hide health-related data</w:t>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C">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Agency</w:t>
            </w:r>
          </w:p>
          <w:p w:rsidR="00000000" w:rsidDel="00000000" w:rsidP="00000000" w:rsidRDefault="00000000" w:rsidRPr="00000000" w14:paraId="0000013D">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3F">
            <w:pPr>
              <w:widowControl w:val="0"/>
              <w:numPr>
                <w:ilvl w:val="0"/>
                <w:numId w:val="2"/>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Does the solution lead to better privacy and data decisions, meaning closer to what one actually wants (informational self-determination)? What does one actually want?</w:t>
            </w:r>
          </w:p>
          <w:p w:rsidR="00000000" w:rsidDel="00000000" w:rsidP="00000000" w:rsidRDefault="00000000" w:rsidRPr="00000000" w14:paraId="00000140">
            <w:pPr>
              <w:widowControl w:val="0"/>
              <w:numPr>
                <w:ilvl w:val="0"/>
                <w:numId w:val="2"/>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to best rely on individual characteristics so that the notices and the data permission requests are more in line with individual preferences and therefore easier to manage in a meaningful way?</w:t>
            </w:r>
          </w:p>
          <w:p w:rsidR="00000000" w:rsidDel="00000000" w:rsidP="00000000" w:rsidRDefault="00000000" w:rsidRPr="00000000" w14:paraId="00000141">
            <w:pPr>
              <w:widowControl w:val="0"/>
              <w:numPr>
                <w:ilvl w:val="0"/>
                <w:numId w:val="2"/>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might we maintain human agency over our data and choices if our preferences are expressed through an agent or through profiling?</w:t>
            </w:r>
          </w:p>
          <w:p w:rsidR="00000000" w:rsidDel="00000000" w:rsidP="00000000" w:rsidRDefault="00000000" w:rsidRPr="00000000" w14:paraId="00000142">
            <w:pPr>
              <w:widowControl w:val="0"/>
              <w:numPr>
                <w:ilvl w:val="0"/>
                <w:numId w:val="2"/>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do we avoid manipulation?</w:t>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3">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Accountability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4">
            <w:pPr>
              <w:widowControl w:val="0"/>
              <w:numPr>
                <w:ilvl w:val="0"/>
                <w:numId w:val="3"/>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do we ensure that the personal privacy assistants are accountable to the individual they provide the service to? What affordances and functionalities are needed for individuals?</w:t>
            </w:r>
          </w:p>
          <w:p w:rsidR="00000000" w:rsidDel="00000000" w:rsidP="00000000" w:rsidRDefault="00000000" w:rsidRPr="00000000" w14:paraId="00000145">
            <w:pPr>
              <w:widowControl w:val="0"/>
              <w:numPr>
                <w:ilvl w:val="0"/>
                <w:numId w:val="3"/>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procedures are needed for oversight over accountability measures?</w:t>
            </w:r>
          </w:p>
          <w:p w:rsidR="00000000" w:rsidDel="00000000" w:rsidP="00000000" w:rsidRDefault="00000000" w:rsidRPr="00000000" w14:paraId="00000146">
            <w:pPr>
              <w:widowControl w:val="0"/>
              <w:numPr>
                <w:ilvl w:val="0"/>
                <w:numId w:val="3"/>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criteria would need to be fulfilled for an individual to trust the decisions made by personal privacy assistants</w:t>
            </w:r>
            <w:r w:rsidDel="00000000" w:rsidR="00000000" w:rsidRPr="00000000">
              <w:rPr>
                <w:rFonts w:ascii="Tahoma" w:cs="Tahoma" w:eastAsia="Tahoma" w:hAnsi="Tahoma"/>
                <w:sz w:val="24"/>
                <w:szCs w:val="24"/>
                <w:rtl w:val="0"/>
              </w:rPr>
              <w:t xml:space="preserve">﻿</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47">
            <w:pPr>
              <w:widowControl w:val="0"/>
              <w:numPr>
                <w:ilvl w:val="0"/>
                <w:numId w:val="3"/>
              </w:numPr>
              <w:shd w:fill="auto" w:val="clear"/>
              <w:spacing w:after="220" w:line="276" w:lineRule="auto"/>
              <w:ind w:left="72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Assume something goes wrong, and a wrong privacy decision is made. Who should be accountable for this? The company behind the privacy assistant? You because of wrong preference settings? Or the privacy assistant because it misunderstood your request?</w:t>
            </w:r>
          </w:p>
        </w:tc>
      </w:tr>
    </w:tbl>
    <w:p w:rsidR="00000000" w:rsidDel="00000000" w:rsidP="00000000" w:rsidRDefault="00000000" w:rsidRPr="00000000" w14:paraId="00000148">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ind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Focus group 2</w:t>
      </w:r>
    </w:p>
    <w:tbl>
      <w:tblPr>
        <w:tblStyle w:val="Table3"/>
        <w:tblW w:w="9195.0" w:type="dxa"/>
        <w:jc w:val="left"/>
        <w:tblLayout w:type="fixed"/>
        <w:tblLook w:val="0400"/>
      </w:tblPr>
      <w:tblGrid>
        <w:gridCol w:w="1485"/>
        <w:gridCol w:w="7710"/>
        <w:tblGridChange w:id="0">
          <w:tblGrid>
            <w:gridCol w:w="1485"/>
            <w:gridCol w:w="7710"/>
          </w:tblGrid>
        </w:tblGridChange>
      </w:tblGrid>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A">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Dimension</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B">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Questions</w:t>
            </w:r>
            <w:r w:rsidDel="00000000" w:rsidR="00000000" w:rsidRPr="00000000">
              <w:rPr>
                <w:rtl w:val="0"/>
              </w:rPr>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C">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Accuracy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4D">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Context</w:t>
            </w:r>
            <w:r w:rsidDel="00000000" w:rsidR="00000000" w:rsidRPr="00000000">
              <w:rPr>
                <w:rtl w:val="0"/>
              </w:rPr>
            </w:r>
          </w:p>
          <w:p w:rsidR="00000000" w:rsidDel="00000000" w:rsidP="00000000" w:rsidRDefault="00000000" w:rsidRPr="00000000" w14:paraId="0000014E">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we establish a right to create fake profiles instead of having super realistic and accurate profiles?</w:t>
            </w:r>
          </w:p>
          <w:p w:rsidR="00000000" w:rsidDel="00000000" w:rsidP="00000000" w:rsidRDefault="00000000" w:rsidRPr="00000000" w14:paraId="0000014F">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Authority </w:t>
            </w:r>
            <w:r w:rsidDel="00000000" w:rsidR="00000000" w:rsidRPr="00000000">
              <w:rPr>
                <w:rtl w:val="0"/>
              </w:rPr>
            </w:r>
          </w:p>
          <w:p w:rsidR="00000000" w:rsidDel="00000000" w:rsidP="00000000" w:rsidRDefault="00000000" w:rsidRPr="00000000" w14:paraId="00000151">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can check the accuracy? Should people have the right to recur to an external agent that checks if the inferences are correct? Should it be human? Should it be collective? should it be a buddy I trust? Should it be the user being asked from time to time If the inferences are correct?</w:t>
            </w:r>
          </w:p>
          <w:p w:rsidR="00000000" w:rsidDel="00000000" w:rsidP="00000000" w:rsidRDefault="00000000" w:rsidRPr="00000000" w14:paraId="00000152">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Source for personalization </w:t>
            </w:r>
            <w:r w:rsidDel="00000000" w:rsidR="00000000" w:rsidRPr="00000000">
              <w:rPr>
                <w:rtl w:val="0"/>
              </w:rPr>
            </w:r>
          </w:p>
          <w:p w:rsidR="00000000" w:rsidDel="00000000" w:rsidP="00000000" w:rsidRDefault="00000000" w:rsidRPr="00000000" w14:paraId="00000154">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there be an obligation to leave personal characteristics out of the personalization of privacy assistants? </w:t>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5">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Agency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6">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Externalization of privacy decisions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7">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there an obligation for individuals to take care of their personal data, or should they have the right to externalize their privacy management to an external agent?</w:t>
            </w:r>
          </w:p>
          <w:p w:rsidR="00000000" w:rsidDel="00000000" w:rsidP="00000000" w:rsidRDefault="00000000" w:rsidRPr="00000000" w14:paraId="00000158">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Autonomy vs manipulation</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5A">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we establish an obligation to only nudge individuals towards decisions that are in their best interest? But who decides what is in their best interest?</w:t>
            </w:r>
          </w:p>
          <w:p w:rsidR="00000000" w:rsidDel="00000000" w:rsidP="00000000" w:rsidRDefault="00000000" w:rsidRPr="00000000" w14:paraId="0000015B">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C">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we establish an obligation for the agent to not decide for the individual/never act on their behalf by default, unless they have given indication to do so?</w:t>
            </w:r>
          </w:p>
          <w:p w:rsidR="00000000" w:rsidDel="00000000" w:rsidP="00000000" w:rsidRDefault="00000000" w:rsidRPr="00000000" w14:paraId="0000015D">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we introduce an obligation for the agent to assist without replacing the individuals’ decisions?</w:t>
            </w:r>
          </w:p>
        </w:tc>
      </w:tr>
      <w:tr>
        <w:trPr>
          <w:cantSplit w:val="0"/>
          <w:trHeight w:val="40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5F">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Accountability </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160">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Criteria for accountable PPAs</w:t>
            </w:r>
            <w:r w:rsidDel="00000000" w:rsidR="00000000" w:rsidRPr="00000000">
              <w:rPr>
                <w:rtl w:val="0"/>
              </w:rPr>
            </w:r>
          </w:p>
          <w:p w:rsidR="00000000" w:rsidDel="00000000" w:rsidP="00000000" w:rsidRDefault="00000000" w:rsidRPr="00000000" w14:paraId="00000161">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companies developing the agents be obliged to get a certification / registered officially?</w:t>
            </w:r>
          </w:p>
          <w:p w:rsidR="00000000" w:rsidDel="00000000" w:rsidP="00000000" w:rsidRDefault="00000000" w:rsidRPr="00000000" w14:paraId="00000162">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we establish obligations on how the agents should work and how they shouldn't? Or leave it to the market, for instance, with ratings?</w:t>
            </w:r>
          </w:p>
          <w:p w:rsidR="00000000" w:rsidDel="00000000" w:rsidP="00000000" w:rsidRDefault="00000000" w:rsidRPr="00000000" w14:paraId="00000164">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Should there be an obligation to separate privacy assistants and personal data space providers?</w:t>
            </w:r>
          </w:p>
          <w:p w:rsidR="00000000" w:rsidDel="00000000" w:rsidP="00000000" w:rsidRDefault="00000000" w:rsidRPr="00000000" w14:paraId="00000166">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Trust &amp; trustworthiness </w:t>
            </w:r>
            <w:r w:rsidDel="00000000" w:rsidR="00000000" w:rsidRPr="00000000">
              <w:rPr>
                <w:rtl w:val="0"/>
              </w:rPr>
            </w:r>
          </w:p>
          <w:p w:rsidR="00000000" w:rsidDel="00000000" w:rsidP="00000000" w:rsidRDefault="00000000" w:rsidRPr="00000000" w14:paraId="00000168">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Quote: “the importance of trust and good faith. we should probably think about notice and decisions/choices separately. if a system is designed in good faith, then the number of choices should probably be rather small. In this case, there's limited need for personalization. In terms of notice, there's probably a lot more that can be done over the status quo. Individuals are hardly informed. But even then, if a system is designed in good faith by a trustworthy party, then I -- arguably -- don't need to receive much information.”</w:t>
            </w:r>
          </w:p>
        </w:tc>
      </w:tr>
    </w:tbl>
    <w:p w:rsidR="00000000" w:rsidDel="00000000" w:rsidP="00000000" w:rsidRDefault="00000000" w:rsidRPr="00000000" w14:paraId="00000169">
      <w:pPr>
        <w:widowControl w:val="0"/>
        <w:shd w:fill="auto" w:val="clear"/>
        <w:spacing w:after="220" w:line="276" w:lineRule="auto"/>
        <w:ind w:left="440" w:hanging="44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A">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6C">
      <w:pPr>
        <w:pStyle w:val="Heading1"/>
        <w:widowControl w:val="0"/>
        <w:shd w:fill="auto" w:val="clear"/>
        <w:spacing w:line="276" w:lineRule="auto"/>
        <w:ind w:firstLine="0"/>
        <w:jc w:val="left"/>
        <w:rPr>
          <w:rFonts w:ascii="Times New Roman" w:cs="Times New Roman" w:eastAsia="Times New Roman" w:hAnsi="Times New Roman"/>
        </w:rPr>
        <w:sectPr>
          <w:headerReference r:id="rId70" w:type="default"/>
          <w:footerReference r:id="rId71" w:type="default"/>
          <w:pgSz w:h="16838" w:w="11906" w:orient="portrait"/>
          <w:pgMar w:bottom="1440" w:top="1440" w:left="1440" w:right="1440" w:header="720" w:footer="720"/>
          <w:pgNumType w:start="1"/>
        </w:sectPr>
      </w:pPr>
      <w:bookmarkStart w:colFirst="0" w:colLast="0" w:name="_heading=h.3o7nlacz1rv0" w:id="32"/>
      <w:bookmarkEnd w:id="32"/>
      <w:r w:rsidDel="00000000" w:rsidR="00000000" w:rsidRPr="00000000">
        <w:rPr>
          <w:rtl w:val="0"/>
        </w:rPr>
      </w:r>
    </w:p>
    <w:p w:rsidR="00000000" w:rsidDel="00000000" w:rsidP="00000000" w:rsidRDefault="00000000" w:rsidRPr="00000000" w14:paraId="0000016D">
      <w:pPr>
        <w:pStyle w:val="Heading1"/>
        <w:widowControl w:val="0"/>
        <w:shd w:fill="auto" w:val="clear"/>
        <w:spacing w:line="276" w:lineRule="auto"/>
        <w:ind w:firstLine="0"/>
        <w:jc w:val="left"/>
        <w:rPr>
          <w:rFonts w:ascii="Times New Roman" w:cs="Times New Roman" w:eastAsia="Times New Roman" w:hAnsi="Times New Roman"/>
          <w:color w:val="0000ff"/>
        </w:rPr>
      </w:pPr>
      <w:bookmarkStart w:colFirst="0" w:colLast="0" w:name="_heading=h.q97ey7s6qx19" w:id="33"/>
      <w:bookmarkEnd w:id="33"/>
      <w:r w:rsidDel="00000000" w:rsidR="00000000" w:rsidRPr="00000000">
        <w:rPr>
          <w:rFonts w:ascii="Times New Roman" w:cs="Times New Roman" w:eastAsia="Times New Roman" w:hAnsi="Times New Roman"/>
          <w:color w:val="0000ff"/>
          <w:rtl w:val="0"/>
        </w:rPr>
        <w:t xml:space="preserve">Appendix III. Themes from the thematic analysis and their intersection with the </w:t>
      </w:r>
      <w:r w:rsidDel="00000000" w:rsidR="00000000" w:rsidRPr="00000000">
        <w:rPr>
          <w:rFonts w:ascii="Times New Roman" w:cs="Times New Roman" w:eastAsia="Times New Roman" w:hAnsi="Times New Roman"/>
          <w:color w:val="0000ff"/>
          <w:rtl w:val="0"/>
        </w:rPr>
        <w:t xml:space="preserve">three dimensions</w:t>
      </w:r>
      <w:r w:rsidDel="00000000" w:rsidR="00000000" w:rsidRPr="00000000">
        <w:rPr>
          <w:rtl w:val="0"/>
        </w:rPr>
      </w:r>
    </w:p>
    <w:p w:rsidR="00000000" w:rsidDel="00000000" w:rsidP="00000000" w:rsidRDefault="00000000" w:rsidRPr="00000000" w14:paraId="0000016E">
      <w:pPr>
        <w:ind w:left="0" w:firstLine="0"/>
        <w:rPr>
          <w:color w:val="0000ff"/>
        </w:rPr>
      </w:pPr>
      <w:r w:rsidDel="00000000" w:rsidR="00000000" w:rsidRPr="00000000">
        <w:rPr>
          <w:rtl w:val="0"/>
        </w:rPr>
      </w:r>
    </w:p>
    <w:p w:rsidR="00000000" w:rsidDel="00000000" w:rsidP="00000000" w:rsidRDefault="00000000" w:rsidRPr="00000000" w14:paraId="0000016F">
      <w:pPr>
        <w:widowControl w:val="0"/>
        <w:shd w:fill="auto" w:val="clear"/>
        <w:spacing w:line="276" w:lineRule="auto"/>
        <w:ind w:firstLine="0"/>
        <w:jc w:val="left"/>
        <w:rPr>
          <w:color w:val="0000ff"/>
          <w:sz w:val="22"/>
          <w:szCs w:val="22"/>
        </w:rPr>
      </w:pPr>
      <w:r w:rsidDel="00000000" w:rsidR="00000000" w:rsidRPr="00000000">
        <w:rPr>
          <w:rtl w:val="0"/>
        </w:rPr>
      </w:r>
    </w:p>
    <w:tbl>
      <w:tblPr>
        <w:tblStyle w:val="Table4"/>
        <w:tblpPr w:leftFromText="180" w:rightFromText="180" w:topFromText="180" w:bottomFromText="180" w:vertAnchor="text" w:horzAnchor="text" w:tblpX="0" w:tblpY="0"/>
        <w:tblW w:w="1075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575"/>
        <w:gridCol w:w="3060"/>
        <w:gridCol w:w="3060"/>
        <w:gridCol w:w="3060"/>
        <w:tblGridChange w:id="0">
          <w:tblGrid>
            <w:gridCol w:w="1575"/>
            <w:gridCol w:w="3060"/>
            <w:gridCol w:w="3060"/>
            <w:gridCol w:w="3060"/>
          </w:tblGrid>
        </w:tblGridChange>
      </w:tblGrid>
      <w:tr>
        <w:trPr>
          <w:cantSplit w:val="0"/>
          <w:trHeight w:val="360" w:hRule="atLeast"/>
          <w:tblHeader w:val="0"/>
        </w:trPr>
        <w:tc>
          <w:tcPr>
            <w:shd w:fill="cccccc" w:val="clear"/>
          </w:tcPr>
          <w:p w:rsidR="00000000" w:rsidDel="00000000" w:rsidP="00000000" w:rsidRDefault="00000000" w:rsidRPr="00000000" w14:paraId="00000170">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b w:val="1"/>
                <w:color w:val="0000ff"/>
                <w:rtl w:val="0"/>
              </w:rPr>
              <w:t xml:space="preserve">Theme</w:t>
            </w:r>
            <w:r w:rsidDel="00000000" w:rsidR="00000000" w:rsidRPr="00000000">
              <w:rPr>
                <w:rtl w:val="0"/>
              </w:rPr>
            </w:r>
          </w:p>
        </w:tc>
        <w:tc>
          <w:tcPr>
            <w:gridSpan w:val="3"/>
            <w:shd w:fill="cccccc" w:val="clear"/>
          </w:tcPr>
          <w:p w:rsidR="00000000" w:rsidDel="00000000" w:rsidP="00000000" w:rsidRDefault="00000000" w:rsidRPr="00000000" w14:paraId="00000171">
            <w:pPr>
              <w:widowControl w:val="0"/>
              <w:shd w:fill="auto" w:val="clear"/>
              <w:spacing w:line="240" w:lineRule="auto"/>
              <w:ind w:firstLine="0"/>
              <w:jc w:val="center"/>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Dimension</w:t>
            </w:r>
          </w:p>
        </w:tc>
      </w:tr>
      <w:tr>
        <w:trPr>
          <w:cantSplit w:val="0"/>
          <w:trHeight w:val="405" w:hRule="atLeast"/>
          <w:tblHeader w:val="0"/>
        </w:trPr>
        <w:tc>
          <w:tcPr>
            <w:shd w:fill="cccccc" w:val="clear"/>
          </w:tcPr>
          <w:p w:rsidR="00000000" w:rsidDel="00000000" w:rsidP="00000000" w:rsidRDefault="00000000" w:rsidRPr="00000000" w14:paraId="00000174">
            <w:pPr>
              <w:widowControl w:val="0"/>
              <w:shd w:fill="auto" w:val="clear"/>
              <w:spacing w:line="240" w:lineRule="auto"/>
              <w:ind w:firstLine="0"/>
              <w:jc w:val="center"/>
              <w:rPr>
                <w:rFonts w:ascii="Times New Roman" w:cs="Times New Roman" w:eastAsia="Times New Roman" w:hAnsi="Times New Roman"/>
                <w:b w:val="1"/>
                <w:color w:val="0000ff"/>
              </w:rPr>
            </w:pPr>
            <w:r w:rsidDel="00000000" w:rsidR="00000000" w:rsidRPr="00000000">
              <w:rPr>
                <w:rtl w:val="0"/>
              </w:rPr>
            </w:r>
          </w:p>
        </w:tc>
        <w:tc>
          <w:tcPr>
            <w:shd w:fill="cccccc" w:val="clear"/>
          </w:tcPr>
          <w:p w:rsidR="00000000" w:rsidDel="00000000" w:rsidP="00000000" w:rsidRDefault="00000000" w:rsidRPr="00000000" w14:paraId="00000175">
            <w:pPr>
              <w:widowControl w:val="0"/>
              <w:shd w:fill="auto" w:val="clear"/>
              <w:spacing w:line="240" w:lineRule="auto"/>
              <w:ind w:firstLine="0"/>
              <w:jc w:val="center"/>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Accuracy</w:t>
            </w:r>
          </w:p>
        </w:tc>
        <w:tc>
          <w:tcPr>
            <w:shd w:fill="cccccc" w:val="clear"/>
          </w:tcPr>
          <w:p w:rsidR="00000000" w:rsidDel="00000000" w:rsidP="00000000" w:rsidRDefault="00000000" w:rsidRPr="00000000" w14:paraId="00000176">
            <w:pPr>
              <w:widowControl w:val="0"/>
              <w:shd w:fill="auto" w:val="clear"/>
              <w:spacing w:line="240" w:lineRule="auto"/>
              <w:ind w:firstLine="0"/>
              <w:jc w:val="center"/>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Agency</w:t>
            </w:r>
          </w:p>
        </w:tc>
        <w:tc>
          <w:tcPr>
            <w:shd w:fill="cccccc" w:val="clear"/>
          </w:tcPr>
          <w:p w:rsidR="00000000" w:rsidDel="00000000" w:rsidP="00000000" w:rsidRDefault="00000000" w:rsidRPr="00000000" w14:paraId="00000177">
            <w:pPr>
              <w:widowControl w:val="0"/>
              <w:shd w:fill="auto" w:val="clear"/>
              <w:spacing w:line="240" w:lineRule="auto"/>
              <w:ind w:firstLine="0"/>
              <w:jc w:val="center"/>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Accountability</w:t>
            </w:r>
          </w:p>
        </w:tc>
      </w:tr>
      <w:tr>
        <w:trPr>
          <w:cantSplit w:val="0"/>
          <w:trHeight w:val="525" w:hRule="atLeast"/>
          <w:tblHeader w:val="0"/>
        </w:trPr>
        <w:tc>
          <w:tcPr/>
          <w:p w:rsidR="00000000" w:rsidDel="00000000" w:rsidP="00000000" w:rsidRDefault="00000000" w:rsidRPr="00000000" w14:paraId="00000178">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Clear definition and measurement</w:t>
            </w:r>
          </w:p>
        </w:tc>
        <w:tc>
          <w:tcPr/>
          <w:p w:rsidR="00000000" w:rsidDel="00000000" w:rsidP="00000000" w:rsidRDefault="00000000" w:rsidRPr="00000000" w14:paraId="0000017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w:t>
            </w:r>
            <w:r w:rsidDel="00000000" w:rsidR="00000000" w:rsidRPr="00000000">
              <w:rPr>
                <w:rFonts w:ascii="Times New Roman" w:cs="Times New Roman" w:eastAsia="Times New Roman" w:hAnsi="Times New Roman"/>
                <w:color w:val="0000ff"/>
                <w:rtl w:val="0"/>
              </w:rPr>
              <w:t xml:space="preserve">M: </w:t>
            </w:r>
            <w:r w:rsidDel="00000000" w:rsidR="00000000" w:rsidRPr="00000000">
              <w:rPr>
                <w:rFonts w:ascii="Times New Roman" w:cs="Times New Roman" w:eastAsia="Times New Roman" w:hAnsi="Times New Roman"/>
                <w:color w:val="0000ff"/>
                <w:rtl w:val="0"/>
              </w:rPr>
              <w:t xml:space="preserve">Preference consistency; User satisfaction; Performance of PPA decisions from users’ preferences</w:t>
            </w:r>
          </w:p>
          <w:p w:rsidR="00000000" w:rsidDel="00000000" w:rsidP="00000000" w:rsidRDefault="00000000" w:rsidRPr="00000000" w14:paraId="0000017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7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FA: Abuse rates; User corrections of PPA decisions; </w:t>
            </w:r>
            <w:r w:rsidDel="00000000" w:rsidR="00000000" w:rsidRPr="00000000">
              <w:rPr>
                <w:rFonts w:ascii="Times New Roman" w:cs="Times New Roman" w:eastAsia="Times New Roman" w:hAnsi="Times New Roman"/>
                <w:color w:val="0000ff"/>
                <w:rtl w:val="0"/>
              </w:rPr>
              <w:t xml:space="preserve">Robustness across different contexts; Check impact of inaccurate inputs</w:t>
            </w:r>
            <w:r w:rsidDel="00000000" w:rsidR="00000000" w:rsidRPr="00000000">
              <w:rPr>
                <w:rtl w:val="0"/>
              </w:rPr>
            </w:r>
          </w:p>
          <w:p w:rsidR="00000000" w:rsidDel="00000000" w:rsidP="00000000" w:rsidRDefault="00000000" w:rsidRPr="00000000" w14:paraId="0000017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7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7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7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rHeight w:val="510" w:hRule="atLeast"/>
          <w:tblHeader w:val="0"/>
        </w:trPr>
        <w:tc>
          <w:tcPr/>
          <w:p w:rsidR="00000000" w:rsidDel="00000000" w:rsidP="00000000" w:rsidRDefault="00000000" w:rsidRPr="00000000" w14:paraId="00000180">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Human involvement </w:t>
            </w:r>
          </w:p>
        </w:tc>
        <w:tc>
          <w:tcPr/>
          <w:p w:rsidR="00000000" w:rsidDel="00000000" w:rsidP="00000000" w:rsidRDefault="00000000" w:rsidRPr="00000000" w14:paraId="0000018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M: Humans in the loop</w:t>
            </w:r>
          </w:p>
        </w:tc>
        <w:tc>
          <w:tcPr/>
          <w:p w:rsidR="00000000" w:rsidDel="00000000" w:rsidP="00000000" w:rsidRDefault="00000000" w:rsidRPr="00000000" w14:paraId="0000018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M: Feedback loops; PPA considers user risks and concerns </w:t>
            </w:r>
          </w:p>
        </w:tc>
        <w:tc>
          <w:tcPr/>
          <w:p w:rsidR="00000000" w:rsidDel="00000000" w:rsidP="00000000" w:rsidRDefault="00000000" w:rsidRPr="00000000" w14:paraId="0000018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H: Users make decisions on high-risk data transactions </w:t>
            </w:r>
          </w:p>
          <w:p w:rsidR="00000000" w:rsidDel="00000000" w:rsidP="00000000" w:rsidRDefault="00000000" w:rsidRPr="00000000" w14:paraId="0000018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FA: Aggregated human evaluations</w:t>
            </w:r>
          </w:p>
          <w:p w:rsidR="00000000" w:rsidDel="00000000" w:rsidP="00000000" w:rsidRDefault="00000000" w:rsidRPr="00000000" w14:paraId="0000018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6.1.3: Human involvement in automated decision-making, which helps with PPA trustworthiness  </w:t>
            </w:r>
          </w:p>
        </w:tc>
      </w:tr>
      <w:tr>
        <w:trPr>
          <w:cantSplit w:val="0"/>
          <w:trHeight w:val="405" w:hRule="atLeast"/>
          <w:tblHeader w:val="0"/>
        </w:trPr>
        <w:tc>
          <w:tcPr/>
          <w:p w:rsidR="00000000" w:rsidDel="00000000" w:rsidP="00000000" w:rsidRDefault="00000000" w:rsidRPr="00000000" w14:paraId="00000186">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Oversight </w:t>
            </w:r>
          </w:p>
        </w:tc>
        <w:tc>
          <w:tcPr/>
          <w:p w:rsidR="00000000" w:rsidDel="00000000" w:rsidP="00000000" w:rsidRDefault="00000000" w:rsidRPr="00000000" w14:paraId="0000018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M: User audit PPA decisions</w:t>
            </w:r>
          </w:p>
          <w:p w:rsidR="00000000" w:rsidDel="00000000" w:rsidP="00000000" w:rsidRDefault="00000000" w:rsidRPr="00000000" w14:paraId="0000018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H: User audit; Use of external agent for auditing  </w:t>
            </w:r>
          </w:p>
        </w:tc>
        <w:tc>
          <w:tcPr/>
          <w:p w:rsidR="00000000" w:rsidDel="00000000" w:rsidP="00000000" w:rsidRDefault="00000000" w:rsidRPr="00000000" w14:paraId="0000018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6.1.2: Accreditation for the externalization of privacy management to an agent;  Independent trustworthy authorities to set the boundary of permissible actions by PPAs;  Periodic audit on PPA decision </w:t>
            </w:r>
          </w:p>
        </w:tc>
        <w:tc>
          <w:tcPr/>
          <w:p w:rsidR="00000000" w:rsidDel="00000000" w:rsidP="00000000" w:rsidRDefault="00000000" w:rsidRPr="00000000" w14:paraId="0000018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M: Audit;  Data tracking</w:t>
            </w:r>
          </w:p>
          <w:p w:rsidR="00000000" w:rsidDel="00000000" w:rsidP="00000000" w:rsidRDefault="00000000" w:rsidRPr="00000000" w14:paraId="0000018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H: Certifications;  Traceability of data transactions; Information available to users </w:t>
            </w:r>
          </w:p>
          <w:p w:rsidR="00000000" w:rsidDel="00000000" w:rsidP="00000000" w:rsidRDefault="00000000" w:rsidRPr="00000000" w14:paraId="0000018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FA: Targets of oversight; Human accountability; Proactive control from stakeholders and DPAs;  Community oversight</w:t>
            </w:r>
          </w:p>
          <w:p w:rsidR="00000000" w:rsidDel="00000000" w:rsidP="00000000" w:rsidRDefault="00000000" w:rsidRPr="00000000" w14:paraId="0000018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6.1.3: Oversight by regulatory authorities </w:t>
            </w:r>
          </w:p>
        </w:tc>
      </w:tr>
      <w:tr>
        <w:trPr>
          <w:cantSplit w:val="0"/>
          <w:trHeight w:val="680" w:hRule="atLeast"/>
          <w:tblHeader w:val="0"/>
        </w:trPr>
        <w:tc>
          <w:tcPr/>
          <w:p w:rsidR="00000000" w:rsidDel="00000000" w:rsidP="00000000" w:rsidRDefault="00000000" w:rsidRPr="00000000" w14:paraId="0000018E">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Input data </w:t>
            </w:r>
          </w:p>
        </w:tc>
        <w:tc>
          <w:tcPr/>
          <w:p w:rsidR="00000000" w:rsidDel="00000000" w:rsidP="00000000" w:rsidRDefault="00000000" w:rsidRPr="00000000" w14:paraId="0000018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H: Mixed opinions on the use of  implicit data </w:t>
            </w:r>
          </w:p>
          <w:p w:rsidR="00000000" w:rsidDel="00000000" w:rsidP="00000000" w:rsidRDefault="00000000" w:rsidRPr="00000000" w14:paraId="0000019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6.1.1: Ability to use fake data and aliases;  Inconclusive on the use of personality traits;  Discoverability via APIs </w:t>
            </w:r>
          </w:p>
          <w:p w:rsidR="00000000" w:rsidDel="00000000" w:rsidP="00000000" w:rsidRDefault="00000000" w:rsidRPr="00000000" w14:paraId="0000019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9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M: Factors to consider when PPA using individual characteristics </w:t>
            </w:r>
          </w:p>
        </w:tc>
        <w:tc>
          <w:tcPr/>
          <w:p w:rsidR="00000000" w:rsidDel="00000000" w:rsidP="00000000" w:rsidRDefault="00000000" w:rsidRPr="00000000" w14:paraId="0000019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rHeight w:val="525" w:hRule="atLeast"/>
          <w:tblHeader w:val="0"/>
        </w:trPr>
        <w:tc>
          <w:tcPr/>
          <w:p w:rsidR="00000000" w:rsidDel="00000000" w:rsidP="00000000" w:rsidRDefault="00000000" w:rsidRPr="00000000" w14:paraId="00000194">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User control</w:t>
            </w:r>
          </w:p>
        </w:tc>
        <w:tc>
          <w:tcPr/>
          <w:p w:rsidR="00000000" w:rsidDel="00000000" w:rsidP="00000000" w:rsidRDefault="00000000" w:rsidRPr="00000000" w14:paraId="0000019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FA: Change preferences in profiles</w:t>
            </w:r>
          </w:p>
          <w:p w:rsidR="00000000" w:rsidDel="00000000" w:rsidP="00000000" w:rsidRDefault="00000000" w:rsidRPr="00000000" w14:paraId="0000019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6.1.1 Granular consent </w:t>
            </w:r>
          </w:p>
        </w:tc>
        <w:tc>
          <w:tcPr/>
          <w:p w:rsidR="00000000" w:rsidDel="00000000" w:rsidP="00000000" w:rsidRDefault="00000000" w:rsidRPr="00000000" w14:paraId="0000019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M: Users can change past decisions and choices </w:t>
            </w:r>
          </w:p>
          <w:p w:rsidR="00000000" w:rsidDel="00000000" w:rsidP="00000000" w:rsidRDefault="00000000" w:rsidRPr="00000000" w14:paraId="0000019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H: PAA as a buddy (‘assist not replace’);  Granular instructions </w:t>
            </w:r>
          </w:p>
          <w:p w:rsidR="00000000" w:rsidDel="00000000" w:rsidP="00000000" w:rsidRDefault="00000000" w:rsidRPr="00000000" w14:paraId="0000019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FA: Granular opt-in/out </w:t>
            </w:r>
          </w:p>
          <w:p w:rsidR="00000000" w:rsidDel="00000000" w:rsidP="00000000" w:rsidRDefault="00000000" w:rsidRPr="00000000" w14:paraId="0000019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6.1.2: PPA assists users’ decision-making; PPA is only involved when a decision deviates from a default option </w:t>
            </w:r>
          </w:p>
          <w:p w:rsidR="00000000" w:rsidDel="00000000" w:rsidP="00000000" w:rsidRDefault="00000000" w:rsidRPr="00000000" w14:paraId="0000019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9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rHeight w:val="420" w:hRule="atLeast"/>
          <w:tblHeader w:val="0"/>
        </w:trPr>
        <w:tc>
          <w:tcPr/>
          <w:p w:rsidR="00000000" w:rsidDel="00000000" w:rsidP="00000000" w:rsidRDefault="00000000" w:rsidRPr="00000000" w14:paraId="0000019D">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Counter Manipulation </w:t>
            </w:r>
          </w:p>
        </w:tc>
        <w:tc>
          <w:tcPr/>
          <w:p w:rsidR="00000000" w:rsidDel="00000000" w:rsidP="00000000" w:rsidRDefault="00000000" w:rsidRPr="00000000" w14:paraId="0000019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9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M: Avoid PPA manipulation on users   [Social: A/B testing to better know one’s preferences]  </w:t>
            </w:r>
          </w:p>
          <w:p w:rsidR="00000000" w:rsidDel="00000000" w:rsidP="00000000" w:rsidRDefault="00000000" w:rsidRPr="00000000" w14:paraId="000001A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FA: Select trustworthy profiles; Verification of profiles</w:t>
            </w:r>
          </w:p>
          <w:p w:rsidR="00000000" w:rsidDel="00000000" w:rsidP="00000000" w:rsidRDefault="00000000" w:rsidRPr="00000000" w14:paraId="000001A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6.1.2: Nudging for privacy-conscious preferences and decisions</w:t>
            </w:r>
          </w:p>
          <w:p w:rsidR="00000000" w:rsidDel="00000000" w:rsidP="00000000" w:rsidRDefault="00000000" w:rsidRPr="00000000" w14:paraId="000001A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A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rHeight w:val="375" w:hRule="atLeast"/>
          <w:tblHeader w:val="0"/>
        </w:trPr>
        <w:tc>
          <w:tcPr/>
          <w:p w:rsidR="00000000" w:rsidDel="00000000" w:rsidP="00000000" w:rsidRDefault="00000000" w:rsidRPr="00000000" w14:paraId="000001A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Best interest for users</w:t>
            </w:r>
          </w:p>
        </w:tc>
        <w:tc>
          <w:tcPr/>
          <w:p w:rsidR="00000000" w:rsidDel="00000000" w:rsidP="00000000" w:rsidRDefault="00000000" w:rsidRPr="00000000" w14:paraId="000001A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A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M: New business model users paying for PPA</w:t>
            </w:r>
          </w:p>
          <w:p w:rsidR="00000000" w:rsidDel="00000000" w:rsidP="00000000" w:rsidRDefault="00000000" w:rsidRPr="00000000" w14:paraId="000001A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6.1.2: The need to balance the interests of individuals, businesses, and nations/EU</w:t>
            </w:r>
          </w:p>
        </w:tc>
        <w:tc>
          <w:tcPr/>
          <w:p w:rsidR="00000000" w:rsidDel="00000000" w:rsidP="00000000" w:rsidRDefault="00000000" w:rsidRPr="00000000" w14:paraId="000001A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H: Obligation for PPA to act in the best interest of users</w:t>
            </w:r>
          </w:p>
        </w:tc>
      </w:tr>
      <w:tr>
        <w:trPr>
          <w:cantSplit w:val="0"/>
          <w:trHeight w:val="360" w:hRule="atLeast"/>
          <w:tblHeader w:val="0"/>
        </w:trPr>
        <w:tc>
          <w:tcPr/>
          <w:p w:rsidR="00000000" w:rsidDel="00000000" w:rsidP="00000000" w:rsidRDefault="00000000" w:rsidRPr="00000000" w14:paraId="000001A9">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Trust </w:t>
            </w:r>
          </w:p>
        </w:tc>
        <w:tc>
          <w:tcPr/>
          <w:p w:rsidR="00000000" w:rsidDel="00000000" w:rsidP="00000000" w:rsidRDefault="00000000" w:rsidRPr="00000000" w14:paraId="000001A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A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H: Users’ right not to care; Delegation to PPAs due to trust </w:t>
            </w:r>
          </w:p>
        </w:tc>
        <w:tc>
          <w:tcPr/>
          <w:p w:rsidR="00000000" w:rsidDel="00000000" w:rsidP="00000000" w:rsidRDefault="00000000" w:rsidRPr="00000000" w14:paraId="000001A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6.1.3: Facilitated by the explainability of PPA decisions </w:t>
            </w:r>
          </w:p>
        </w:tc>
      </w:tr>
      <w:tr>
        <w:trPr>
          <w:cantSplit w:val="0"/>
          <w:trHeight w:val="680" w:hRule="atLeast"/>
          <w:tblHeader w:val="0"/>
        </w:trPr>
        <w:tc>
          <w:tcPr/>
          <w:p w:rsidR="00000000" w:rsidDel="00000000" w:rsidP="00000000" w:rsidRDefault="00000000" w:rsidRPr="00000000" w14:paraId="000001AD">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Transparency </w:t>
            </w:r>
          </w:p>
        </w:tc>
        <w:tc>
          <w:tcPr/>
          <w:p w:rsidR="00000000" w:rsidDel="00000000" w:rsidP="00000000" w:rsidRDefault="00000000" w:rsidRPr="00000000" w14:paraId="000001A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M: PPA provide weekly summaries on decision-making;  Statistics on data flows and data access; Inform users of their change of behavior </w:t>
            </w:r>
          </w:p>
          <w:p w:rsidR="00000000" w:rsidDel="00000000" w:rsidP="00000000" w:rsidRDefault="00000000" w:rsidRPr="00000000" w14:paraId="000001A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5.1.1 FA: Concerns on lack of transparency with fully automated setup</w:t>
            </w:r>
          </w:p>
          <w:p w:rsidR="00000000" w:rsidDel="00000000" w:rsidP="00000000" w:rsidRDefault="00000000" w:rsidRPr="00000000" w14:paraId="000001B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6.1.1: PPAs disclosing to users on the risks, PPAs Explaining a decision in its context</w:t>
            </w:r>
          </w:p>
        </w:tc>
        <w:tc>
          <w:tcPr/>
          <w:p w:rsidR="00000000" w:rsidDel="00000000" w:rsidP="00000000" w:rsidRDefault="00000000" w:rsidRPr="00000000" w14:paraId="000001B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5.1.2 FA: Motives to develop celebrity profiles; Reasons behind the privacy preferences of these profiles</w:t>
            </w:r>
          </w:p>
          <w:p w:rsidR="00000000" w:rsidDel="00000000" w:rsidP="00000000" w:rsidRDefault="00000000" w:rsidRPr="00000000" w14:paraId="000001B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6.1.2: Users provided with an overview of PPA decisions  </w:t>
            </w:r>
          </w:p>
        </w:tc>
        <w:tc>
          <w:tcPr/>
          <w:p w:rsidR="00000000" w:rsidDel="00000000" w:rsidP="00000000" w:rsidRDefault="00000000" w:rsidRPr="00000000" w14:paraId="000001B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FA: Transparency on the data processors and their decisions to users</w:t>
            </w:r>
          </w:p>
          <w:p w:rsidR="00000000" w:rsidDel="00000000" w:rsidP="00000000" w:rsidRDefault="00000000" w:rsidRPr="00000000" w14:paraId="000001B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6.1.3: Meaningful information from PPA in terms of  decisions on user data usage;  Explanability </w:t>
            </w:r>
          </w:p>
        </w:tc>
      </w:tr>
      <w:tr>
        <w:trPr>
          <w:cantSplit w:val="0"/>
          <w:trHeight w:val="450" w:hRule="atLeast"/>
          <w:tblHeader w:val="0"/>
        </w:trPr>
        <w:tc>
          <w:tcPr/>
          <w:p w:rsidR="00000000" w:rsidDel="00000000" w:rsidP="00000000" w:rsidRDefault="00000000" w:rsidRPr="00000000" w14:paraId="000001B5">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Standardization </w:t>
            </w:r>
          </w:p>
        </w:tc>
        <w:tc>
          <w:tcPr/>
          <w:p w:rsidR="00000000" w:rsidDel="00000000" w:rsidP="00000000" w:rsidRDefault="00000000" w:rsidRPr="00000000" w14:paraId="000001B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B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B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M: Standard to PPA development; Code of conduct for compliance </w:t>
            </w:r>
          </w:p>
          <w:p w:rsidR="00000000" w:rsidDel="00000000" w:rsidP="00000000" w:rsidRDefault="00000000" w:rsidRPr="00000000" w14:paraId="000001B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rHeight w:val="375" w:hRule="atLeast"/>
          <w:tblHeader w:val="0"/>
        </w:trPr>
        <w:tc>
          <w:tcPr/>
          <w:p w:rsidR="00000000" w:rsidDel="00000000" w:rsidP="00000000" w:rsidRDefault="00000000" w:rsidRPr="00000000" w14:paraId="000001BA">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Education </w:t>
            </w:r>
          </w:p>
        </w:tc>
        <w:tc>
          <w:tcPr/>
          <w:p w:rsidR="00000000" w:rsidDel="00000000" w:rsidP="00000000" w:rsidRDefault="00000000" w:rsidRPr="00000000" w14:paraId="000001B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B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B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H: Meaning of PPA certificate and consequences of PPA usage </w:t>
            </w:r>
          </w:p>
        </w:tc>
      </w:tr>
      <w:tr>
        <w:trPr>
          <w:cantSplit w:val="0"/>
          <w:trHeight w:val="360" w:hRule="atLeast"/>
          <w:tblHeader w:val="0"/>
        </w:trPr>
        <w:tc>
          <w:tcPr/>
          <w:p w:rsidR="00000000" w:rsidDel="00000000" w:rsidP="00000000" w:rsidRDefault="00000000" w:rsidRPr="00000000" w14:paraId="000001BE">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Regulating PPA </w:t>
            </w:r>
          </w:p>
        </w:tc>
        <w:tc>
          <w:tcPr/>
          <w:p w:rsidR="00000000" w:rsidDel="00000000" w:rsidP="00000000" w:rsidRDefault="00000000" w:rsidRPr="00000000" w14:paraId="000001B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C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C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H: Consumer law;  Market rating </w:t>
            </w:r>
          </w:p>
          <w:p w:rsidR="00000000" w:rsidDel="00000000" w:rsidP="00000000" w:rsidRDefault="00000000" w:rsidRPr="00000000" w14:paraId="000001C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6.1.3 Moving beyond minimum legal standards for user protection </w:t>
            </w:r>
          </w:p>
        </w:tc>
      </w:tr>
      <w:tr>
        <w:trPr>
          <w:cantSplit w:val="0"/>
          <w:trHeight w:val="405" w:hRule="atLeast"/>
          <w:tblHeader w:val="0"/>
        </w:trPr>
        <w:tc>
          <w:tcPr/>
          <w:p w:rsidR="00000000" w:rsidDel="00000000" w:rsidP="00000000" w:rsidRDefault="00000000" w:rsidRPr="00000000" w14:paraId="000001C3">
            <w:pPr>
              <w:widowControl w:val="0"/>
              <w:shd w:fill="auto" w:val="clear"/>
              <w:spacing w:line="240" w:lineRule="auto"/>
              <w:ind w:firstLine="0"/>
              <w:jc w:val="center"/>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Liability of PPA for wrong decisions </w:t>
            </w:r>
          </w:p>
        </w:tc>
        <w:tc>
          <w:tcPr/>
          <w:p w:rsidR="00000000" w:rsidDel="00000000" w:rsidP="00000000" w:rsidRDefault="00000000" w:rsidRPr="00000000" w14:paraId="000001C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C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p w:rsidR="00000000" w:rsidDel="00000000" w:rsidP="00000000" w:rsidRDefault="00000000" w:rsidRPr="00000000" w14:paraId="000001C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H: Depend on the risk level of the type of processing </w:t>
            </w:r>
          </w:p>
          <w:p w:rsidR="00000000" w:rsidDel="00000000" w:rsidP="00000000" w:rsidRDefault="00000000" w:rsidRPr="00000000" w14:paraId="000001C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5.1.3 FA: Multiple responsible entities </w:t>
            </w:r>
          </w:p>
        </w:tc>
      </w:tr>
    </w:tbl>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A">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B">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C">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D">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E">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CF">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0">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1">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2">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3">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4">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5">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6">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7">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9">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A">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B">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C">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D">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DF">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E0">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E1">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E2">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1E3">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i w:val="1"/>
          <w:color w:val="0000ff"/>
        </w:rPr>
      </w:pPr>
      <w:r w:rsidDel="00000000" w:rsidR="00000000" w:rsidRPr="00000000">
        <w:rPr>
          <w:rFonts w:ascii="Times New Roman" w:cs="Times New Roman" w:eastAsia="Times New Roman" w:hAnsi="Times New Roman"/>
          <w:i w:val="1"/>
          <w:color w:val="0000ff"/>
          <w:rtl w:val="0"/>
        </w:rPr>
        <w:t xml:space="preserve">Note.</w:t>
      </w:r>
      <w:r w:rsidDel="00000000" w:rsidR="00000000" w:rsidRPr="00000000">
        <w:rPr>
          <w:rFonts w:ascii="Times New Roman" w:cs="Times New Roman" w:eastAsia="Times New Roman" w:hAnsi="Times New Roman"/>
          <w:b w:val="1"/>
          <w:i w:val="1"/>
          <w:color w:val="0000ff"/>
          <w:rtl w:val="0"/>
        </w:rPr>
        <w:t xml:space="preserve"> </w:t>
      </w:r>
      <w:r w:rsidDel="00000000" w:rsidR="00000000" w:rsidRPr="00000000">
        <w:rPr>
          <w:rFonts w:ascii="Times New Roman" w:cs="Times New Roman" w:eastAsia="Times New Roman" w:hAnsi="Times New Roman"/>
          <w:i w:val="1"/>
          <w:color w:val="0000ff"/>
          <w:rtl w:val="0"/>
        </w:rPr>
        <w:t xml:space="preserve">M = fully manual set-up; H = hybrid manual-automated set-up; FA = fully automated set-up; numerical section numbers correspond to sections in the main body of the manuscript. After each section reference, the relevant codes are listed under the three dimensions.</w:t>
      </w:r>
    </w:p>
    <w:p w:rsidR="00000000" w:rsidDel="00000000" w:rsidP="00000000" w:rsidRDefault="00000000" w:rsidRPr="00000000" w14:paraId="000001E4">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i w:val="1"/>
          <w:color w:val="0000ff"/>
        </w:rPr>
      </w:pPr>
      <w:r w:rsidDel="00000000" w:rsidR="00000000" w:rsidRPr="00000000">
        <w:rPr>
          <w:rFonts w:ascii="Times New Roman" w:cs="Times New Roman" w:eastAsia="Times New Roman" w:hAnsi="Times New Roman"/>
          <w:i w:val="1"/>
          <w:color w:val="0000ff"/>
          <w:rtl w:val="0"/>
        </w:rPr>
        <w:t xml:space="preserve"> </w:t>
      </w:r>
      <w:r w:rsidDel="00000000" w:rsidR="00000000" w:rsidRPr="00000000">
        <w:rPr>
          <w:rtl w:val="0"/>
        </w:rPr>
      </w:r>
    </w:p>
    <w:p w:rsidR="00000000" w:rsidDel="00000000" w:rsidP="00000000" w:rsidRDefault="00000000" w:rsidRPr="00000000" w14:paraId="000001E5">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i w:val="1"/>
          <w:color w:val="0000ff"/>
        </w:rPr>
      </w:pPr>
      <w:r w:rsidDel="00000000" w:rsidR="00000000" w:rsidRPr="00000000">
        <w:rPr>
          <w:rtl w:val="0"/>
        </w:rPr>
      </w:r>
    </w:p>
    <w:p w:rsidR="00000000" w:rsidDel="00000000" w:rsidP="00000000" w:rsidRDefault="00000000" w:rsidRPr="00000000" w14:paraId="000001E6">
      <w:pPr>
        <w:widowControl w:val="0"/>
        <w:pBdr>
          <w:top w:space="0" w:sz="0" w:val="nil"/>
          <w:left w:space="0" w:sz="0" w:val="nil"/>
          <w:bottom w:space="0" w:sz="0" w:val="nil"/>
          <w:right w:space="0" w:sz="0" w:val="nil"/>
          <w:between w:space="0" w:sz="0" w:val="nil"/>
        </w:pBdr>
        <w:shd w:fill="auto" w:val="clear"/>
        <w:spacing w:line="276" w:lineRule="auto"/>
        <w:ind w:firstLine="0"/>
        <w:jc w:val="left"/>
        <w:rPr>
          <w:rFonts w:ascii="Times New Roman" w:cs="Times New Roman" w:eastAsia="Times New Roman" w:hAnsi="Times New Roman"/>
          <w:i w:val="1"/>
          <w:color w:val="0000ff"/>
        </w:rPr>
      </w:pPr>
      <w:r w:rsidDel="00000000" w:rsidR="00000000" w:rsidRPr="00000000">
        <w:rPr>
          <w:rtl w:val="0"/>
        </w:rPr>
      </w:r>
    </w:p>
    <w:p w:rsidR="00000000" w:rsidDel="00000000" w:rsidP="00000000" w:rsidRDefault="00000000" w:rsidRPr="00000000" w14:paraId="000001E7">
      <w:pPr>
        <w:pStyle w:val="Heading1"/>
        <w:widowControl w:val="0"/>
        <w:shd w:fill="auto" w:val="clear"/>
        <w:spacing w:line="276" w:lineRule="auto"/>
        <w:ind w:firstLine="0"/>
        <w:jc w:val="left"/>
        <w:rPr/>
      </w:pPr>
      <w:bookmarkStart w:colFirst="0" w:colLast="0" w:name="_heading=h.9ez0ewdrcv0" w:id="34"/>
      <w:bookmarkEnd w:id="34"/>
      <w:r w:rsidDel="00000000" w:rsidR="00000000" w:rsidRPr="00000000">
        <w:rPr>
          <w:rtl w:val="0"/>
        </w:rPr>
        <w:t xml:space="preserve">Appendix IV. Themes from the backcasting activities </w:t>
      </w:r>
    </w:p>
    <w:p w:rsidR="00000000" w:rsidDel="00000000" w:rsidP="00000000" w:rsidRDefault="00000000" w:rsidRPr="00000000" w14:paraId="000001E8">
      <w:pPr>
        <w:ind w:firstLine="0"/>
        <w:jc w:val="left"/>
        <w:rPr>
          <w:sz w:val="22"/>
          <w:szCs w:val="22"/>
        </w:rPr>
      </w:pPr>
      <w:r w:rsidDel="00000000" w:rsidR="00000000" w:rsidRPr="00000000">
        <w:rPr>
          <w:rtl w:val="0"/>
        </w:rPr>
      </w:r>
    </w:p>
    <w:sdt>
      <w:sdtPr>
        <w:lock w:val="contentLocked"/>
        <w:id w:val="674275622"/>
        <w:tag w:val="goog_rdk_0"/>
      </w:sdtPr>
      <w:sdtContent>
        <w:tbl>
          <w:tblPr>
            <w:tblStyle w:val="Table5"/>
            <w:tblW w:w="1395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489.5"/>
            <w:gridCol w:w="3489.5"/>
            <w:gridCol w:w="3489.5"/>
            <w:gridCol w:w="3489.5"/>
            <w:tblGridChange w:id="0">
              <w:tblGrid>
                <w:gridCol w:w="3489.5"/>
                <w:gridCol w:w="3489.5"/>
                <w:gridCol w:w="3489.5"/>
                <w:gridCol w:w="3489.5"/>
              </w:tblGrid>
            </w:tblGridChange>
          </w:tblGrid>
          <w:tr>
            <w:trPr>
              <w:cantSplit w:val="0"/>
              <w:tblHeader w:val="0"/>
            </w:trPr>
            <w:tc>
              <w:tcPr>
                <w:shd w:fill="b7b7b7" w:val="clear"/>
                <w:tcMar>
                  <w:top w:w="100.0" w:type="dxa"/>
                  <w:left w:w="100.0" w:type="dxa"/>
                  <w:bottom w:w="100.0" w:type="dxa"/>
                  <w:right w:w="100.0" w:type="dxa"/>
                </w:tcMar>
                <w:vAlign w:val="top"/>
              </w:tcPr>
              <w:p w:rsidR="00000000" w:rsidDel="00000000" w:rsidP="00000000" w:rsidRDefault="00000000" w:rsidRPr="00000000" w14:paraId="000001E9">
                <w:pPr>
                  <w:widowControl w:val="0"/>
                  <w:shd w:fill="auto" w:val="clear"/>
                  <w:spacing w:line="240" w:lineRule="auto"/>
                  <w:ind w:firstLine="0"/>
                  <w:jc w:val="left"/>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Themes   </w:t>
                </w:r>
              </w:p>
            </w:tc>
            <w:tc>
              <w:tcPr>
                <w:shd w:fill="b7b7b7" w:val="clear"/>
                <w:tcMar>
                  <w:top w:w="100.0" w:type="dxa"/>
                  <w:left w:w="100.0" w:type="dxa"/>
                  <w:bottom w:w="100.0" w:type="dxa"/>
                  <w:right w:w="100.0" w:type="dxa"/>
                </w:tcMar>
                <w:vAlign w:val="top"/>
              </w:tcPr>
              <w:p w:rsidR="00000000" w:rsidDel="00000000" w:rsidP="00000000" w:rsidRDefault="00000000" w:rsidRPr="00000000" w14:paraId="000001EA">
                <w:pPr>
                  <w:widowControl w:val="0"/>
                  <w:shd w:fill="auto" w:val="clear"/>
                  <w:spacing w:line="240" w:lineRule="auto"/>
                  <w:ind w:firstLine="0"/>
                  <w:jc w:val="left"/>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Proposals  </w:t>
                </w:r>
              </w:p>
            </w:tc>
            <w:tc>
              <w:tcPr>
                <w:shd w:fill="b7b7b7" w:val="clear"/>
                <w:tcMar>
                  <w:top w:w="100.0" w:type="dxa"/>
                  <w:left w:w="100.0" w:type="dxa"/>
                  <w:bottom w:w="100.0" w:type="dxa"/>
                  <w:right w:w="100.0" w:type="dxa"/>
                </w:tcMar>
                <w:vAlign w:val="top"/>
              </w:tcPr>
              <w:p w:rsidR="00000000" w:rsidDel="00000000" w:rsidP="00000000" w:rsidRDefault="00000000" w:rsidRPr="00000000" w14:paraId="000001EB">
                <w:pPr>
                  <w:widowControl w:val="0"/>
                  <w:shd w:fill="auto" w:val="clear"/>
                  <w:spacing w:line="240" w:lineRule="auto"/>
                  <w:ind w:firstLine="0"/>
                  <w:jc w:val="left"/>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Potential solutions by participants </w:t>
                </w:r>
              </w:p>
            </w:tc>
            <w:tc>
              <w:tcPr>
                <w:shd w:fill="b7b7b7" w:val="clear"/>
                <w:tcMar>
                  <w:top w:w="100.0" w:type="dxa"/>
                  <w:left w:w="100.0" w:type="dxa"/>
                  <w:bottom w:w="100.0" w:type="dxa"/>
                  <w:right w:w="100.0" w:type="dxa"/>
                </w:tcMar>
                <w:vAlign w:val="top"/>
              </w:tcPr>
              <w:p w:rsidR="00000000" w:rsidDel="00000000" w:rsidP="00000000" w:rsidRDefault="00000000" w:rsidRPr="00000000" w14:paraId="000001EC">
                <w:pPr>
                  <w:widowControl w:val="0"/>
                  <w:shd w:fill="auto" w:val="clear"/>
                  <w:spacing w:line="240" w:lineRule="auto"/>
                  <w:ind w:firstLine="0"/>
                  <w:jc w:val="left"/>
                  <w:rPr>
                    <w:rFonts w:ascii="Times New Roman" w:cs="Times New Roman" w:eastAsia="Times New Roman" w:hAnsi="Times New Roman"/>
                    <w:b w:val="1"/>
                    <w:color w:val="0000ff"/>
                  </w:rPr>
                </w:pPr>
                <w:r w:rsidDel="00000000" w:rsidR="00000000" w:rsidRPr="00000000">
                  <w:rPr>
                    <w:rFonts w:ascii="Times New Roman" w:cs="Times New Roman" w:eastAsia="Times New Roman" w:hAnsi="Times New Roman"/>
                    <w:b w:val="1"/>
                    <w:color w:val="0000ff"/>
                    <w:rtl w:val="0"/>
                  </w:rPr>
                  <w:t xml:space="preserve">Stakeholders needed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Interoperability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5.2.1 M: Standards on agreed-upon machine-readable semantics, data format, and communication standards among different tools/apps</w:t>
                </w:r>
              </w:p>
              <w:p w:rsidR="00000000" w:rsidDel="00000000" w:rsidP="00000000" w:rsidRDefault="00000000" w:rsidRPr="00000000" w14:paraId="000001E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5.2.2 H: Standardized semantic specification </w:t>
                </w:r>
              </w:p>
              <w:p w:rsidR="00000000" w:rsidDel="00000000" w:rsidP="00000000" w:rsidRDefault="00000000" w:rsidRPr="00000000" w14:paraId="000001F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Ability to work everywhere (e.g., different websites and platforms)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Multistakeholder collaboration; ensure enforcement  through regulatory development, clarifications from the European Data Protection Board; Community-driven approach </w:t>
                </w:r>
              </w:p>
              <w:p w:rsidR="00000000" w:rsidDel="00000000" w:rsidP="00000000" w:rsidRDefault="00000000" w:rsidRPr="00000000" w14:paraId="000001F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W3C’s Data Privacy Vocabulary </w:t>
                </w:r>
              </w:p>
              <w:p w:rsidR="00000000" w:rsidDel="00000000" w:rsidP="00000000" w:rsidRDefault="00000000" w:rsidRPr="00000000" w14:paraId="000001F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F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Academia, Government (e.g., EU Parliament), Enforcement bodies, Industry, (Tech/Research) Community </w:t>
                </w:r>
              </w:p>
              <w:p w:rsidR="00000000" w:rsidDel="00000000" w:rsidP="00000000" w:rsidRDefault="00000000" w:rsidRPr="00000000" w14:paraId="000001F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1F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(Tech/Research) Community </w:t>
                </w:r>
              </w:p>
              <w:p w:rsidR="00000000" w:rsidDel="00000000" w:rsidP="00000000" w:rsidRDefault="00000000" w:rsidRPr="00000000" w14:paraId="0000020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0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0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0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Ensuring PPA compliance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5.2.1 M: Regulatory sandboxes</w:t>
                </w:r>
              </w:p>
              <w:p w:rsidR="00000000" w:rsidDel="00000000" w:rsidP="00000000" w:rsidRDefault="00000000" w:rsidRPr="00000000" w14:paraId="0000020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0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5.2.2 H: Regulatory sandboxes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Governments, Industry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PPA oversight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5.2.2 H: Registry for PPA providers</w:t>
                </w:r>
              </w:p>
              <w:p w:rsidR="00000000" w:rsidDel="00000000" w:rsidP="00000000" w:rsidRDefault="00000000" w:rsidRPr="00000000" w14:paraId="0000020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0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0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Similar to DGA’s mandatory registration for data intermediaries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0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Legal compliance for PPAs</w:t>
                </w:r>
              </w:p>
            </w:tc>
            <w:tc>
              <w:tcPr>
                <w:shd w:fill="auto" w:val="clear"/>
                <w:tcMar>
                  <w:top w:w="100.0" w:type="dxa"/>
                  <w:left w:w="100.0" w:type="dxa"/>
                  <w:bottom w:w="100.0" w:type="dxa"/>
                  <w:right w:w="100.0" w:type="dxa"/>
                </w:tcMar>
                <w:vAlign w:val="top"/>
              </w:tcPr>
              <w:p w:rsidR="00000000" w:rsidDel="00000000" w:rsidP="00000000" w:rsidRDefault="00000000" w:rsidRPr="00000000" w14:paraId="0000021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5.2.2 H: Compliance with DGA; legal classification of intermediaries (data controller vs. data processor) </w:t>
                </w:r>
              </w:p>
              <w:p w:rsidR="00000000" w:rsidDel="00000000" w:rsidP="00000000" w:rsidRDefault="00000000" w:rsidRPr="00000000" w14:paraId="0000021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1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5.2.3 FA: Conflict with Art.22 GDPR; General disclosure compliance with GDPR</w:t>
                </w:r>
              </w:p>
              <w:p w:rsidR="00000000" w:rsidDel="00000000" w:rsidP="00000000" w:rsidRDefault="00000000" w:rsidRPr="00000000" w14:paraId="0000021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1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Changes in ePrivacy Regulation that mandates the creation of API for PPA to exchange consent information </w:t>
                </w:r>
              </w:p>
              <w:p w:rsidR="00000000" w:rsidDel="00000000" w:rsidP="00000000" w:rsidRDefault="00000000" w:rsidRPr="00000000" w14:paraId="0000021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1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Actualization of data portability (GDPR, Data Act, DGA)</w:t>
                </w:r>
              </w:p>
            </w:tc>
            <w:tc>
              <w:tcPr>
                <w:shd w:fill="auto" w:val="clear"/>
                <w:tcMar>
                  <w:top w:w="100.0" w:type="dxa"/>
                  <w:left w:w="100.0" w:type="dxa"/>
                  <w:bottom w:w="100.0" w:type="dxa"/>
                  <w:right w:w="100.0" w:type="dxa"/>
                </w:tcMar>
                <w:vAlign w:val="top"/>
              </w:tcPr>
              <w:p w:rsidR="00000000" w:rsidDel="00000000" w:rsidP="00000000" w:rsidRDefault="00000000" w:rsidRPr="00000000" w14:paraId="0000021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1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Fulfill a fully automated design using Solid Pods</w:t>
                </w:r>
              </w:p>
            </w:tc>
            <w:tc>
              <w:tcPr>
                <w:shd w:fill="auto" w:val="clear"/>
                <w:tcMar>
                  <w:top w:w="100.0" w:type="dxa"/>
                  <w:left w:w="100.0" w:type="dxa"/>
                  <w:bottom w:w="100.0" w:type="dxa"/>
                  <w:right w:w="100.0" w:type="dxa"/>
                </w:tcMar>
                <w:vAlign w:val="top"/>
              </w:tcPr>
              <w:p w:rsidR="00000000" w:rsidDel="00000000" w:rsidP="00000000" w:rsidRDefault="00000000" w:rsidRPr="00000000" w14:paraId="0000021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5.2.3 FA: Ensure traceability of data after it is shared</w:t>
                </w:r>
              </w:p>
              <w:p w:rsidR="00000000" w:rsidDel="00000000" w:rsidP="00000000" w:rsidRDefault="00000000" w:rsidRPr="00000000" w14:paraId="0000021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1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5.2.3 FA: Ensure automatic sharing of data </w:t>
                </w:r>
                <w:r w:rsidDel="00000000" w:rsidR="00000000" w:rsidRPr="00000000">
                  <w:rPr>
                    <w:rtl w:val="0"/>
                  </w:rPr>
                </w:r>
              </w:p>
              <w:p w:rsidR="00000000" w:rsidDel="00000000" w:rsidP="00000000" w:rsidRDefault="00000000" w:rsidRPr="00000000" w14:paraId="0000021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1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Cryptography </w:t>
                </w:r>
                <w:r w:rsidDel="00000000" w:rsidR="00000000" w:rsidRPr="00000000">
                  <w:rPr>
                    <w:rFonts w:ascii="Times New Roman" w:cs="Times New Roman" w:eastAsia="Times New Roman" w:hAnsi="Times New Roman"/>
                    <w:color w:val="0000ff"/>
                    <w:rtl w:val="0"/>
                  </w:rPr>
                  <w:t xml:space="preserve">with steganographic techniques </w:t>
                </w:r>
              </w:p>
              <w:p w:rsidR="00000000" w:rsidDel="00000000" w:rsidP="00000000" w:rsidRDefault="00000000" w:rsidRPr="00000000" w14:paraId="0000022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2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Attribute-based keys to allow a third party to get automatic access</w:t>
                </w:r>
              </w:p>
              <w:p w:rsidR="00000000" w:rsidDel="00000000" w:rsidP="00000000" w:rsidRDefault="00000000" w:rsidRPr="00000000" w14:paraId="0000022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Change of social norms</w:t>
                </w:r>
              </w:p>
            </w:tc>
            <w:tc>
              <w:tcPr>
                <w:shd w:fill="auto" w:val="clear"/>
                <w:tcMar>
                  <w:top w:w="100.0" w:type="dxa"/>
                  <w:left w:w="100.0" w:type="dxa"/>
                  <w:bottom w:w="100.0" w:type="dxa"/>
                  <w:right w:w="100.0" w:type="dxa"/>
                </w:tcMar>
                <w:vAlign w:val="top"/>
              </w:tcPr>
              <w:p w:rsidR="00000000" w:rsidDel="00000000" w:rsidP="00000000" w:rsidRDefault="00000000" w:rsidRPr="00000000" w14:paraId="0000022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Weird </w:t>
                </w:r>
                <w:r w:rsidDel="00000000" w:rsidR="00000000" w:rsidRPr="00000000">
                  <w:rPr>
                    <w:rFonts w:ascii="Times New Roman" w:cs="Times New Roman" w:eastAsia="Times New Roman" w:hAnsi="Times New Roman"/>
                    <w:i w:val="1"/>
                    <w:color w:val="0000ff"/>
                    <w:rtl w:val="0"/>
                  </w:rPr>
                  <w:t xml:space="preserve">not</w:t>
                </w:r>
                <w:r w:rsidDel="00000000" w:rsidR="00000000" w:rsidRPr="00000000">
                  <w:rPr>
                    <w:rFonts w:ascii="Times New Roman" w:cs="Times New Roman" w:eastAsia="Times New Roman" w:hAnsi="Times New Roman"/>
                    <w:color w:val="0000ff"/>
                    <w:rtl w:val="0"/>
                  </w:rPr>
                  <w:t xml:space="preserve"> to use PPAs; Mentioned in political discussions; Widely adopted by web browsers; Shift in business models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Raising awareness and education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9">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Children are taught to use PPA; Raise public awareness with investigative journalists and/or activists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2A">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2B">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2C">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Stakeholders for PPA development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22D">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5.2.1 M: Coalition of the willing with multistakeholder engagement </w:t>
                </w:r>
              </w:p>
              <w:p w:rsidR="00000000" w:rsidDel="00000000" w:rsidP="00000000" w:rsidRDefault="00000000" w:rsidRPr="00000000" w14:paraId="0000022E">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2F">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30">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Multistakeholder design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Academics, web browser developers, Press, such as the New York Times, etc.  </w:t>
                </w:r>
              </w:p>
              <w:p w:rsidR="00000000" w:rsidDel="00000000" w:rsidP="00000000" w:rsidRDefault="00000000" w:rsidRPr="00000000" w14:paraId="00000233">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p w:rsidR="00000000" w:rsidDel="00000000" w:rsidP="00000000" w:rsidRDefault="00000000" w:rsidRPr="00000000" w14:paraId="00000234">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Policymakers, Enforcement agencies, Tech industry, Users, Victims, and Cognitive and behavioral psychologists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5">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Protection of public and individual interests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36">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6.2: Legal actions such as lawsuits </w:t>
                </w:r>
              </w:p>
            </w:tc>
            <w:tc>
              <w:tcPr>
                <w:shd w:fill="auto" w:val="clear"/>
                <w:tcMar>
                  <w:top w:w="100.0" w:type="dxa"/>
                  <w:left w:w="100.0" w:type="dxa"/>
                  <w:bottom w:w="100.0" w:type="dxa"/>
                  <w:right w:w="100.0" w:type="dxa"/>
                </w:tcMar>
                <w:vAlign w:val="top"/>
              </w:tcPr>
              <w:p w:rsidR="00000000" w:rsidDel="00000000" w:rsidP="00000000" w:rsidRDefault="00000000" w:rsidRPr="00000000" w14:paraId="00000237">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8">
                <w:pPr>
                  <w:widowControl w:val="0"/>
                  <w:shd w:fill="auto" w:val="clear"/>
                  <w:spacing w:line="240" w:lineRule="auto"/>
                  <w:ind w:firstLine="0"/>
                  <w:jc w:val="left"/>
                  <w:rPr>
                    <w:rFonts w:ascii="Times New Roman" w:cs="Times New Roman" w:eastAsia="Times New Roman" w:hAnsi="Times New Roman"/>
                    <w:color w:val="0000ff"/>
                  </w:rPr>
                </w:pPr>
                <w:r w:rsidDel="00000000" w:rsidR="00000000" w:rsidRPr="00000000">
                  <w:rPr>
                    <w:rFonts w:ascii="Times New Roman" w:cs="Times New Roman" w:eastAsia="Times New Roman" w:hAnsi="Times New Roman"/>
                    <w:color w:val="0000ff"/>
                    <w:rtl w:val="0"/>
                  </w:rPr>
                  <w:t xml:space="preserve">Consumer protection associations </w:t>
                </w:r>
              </w:p>
            </w:tc>
          </w:tr>
        </w:tbl>
      </w:sdtContent>
    </w:sdt>
    <w:p w:rsidR="00000000" w:rsidDel="00000000" w:rsidP="00000000" w:rsidRDefault="00000000" w:rsidRPr="00000000" w14:paraId="00000239">
      <w:pPr>
        <w:ind w:firstLine="0"/>
        <w:jc w:val="left"/>
        <w:rPr/>
      </w:pPr>
      <w:r w:rsidDel="00000000" w:rsidR="00000000" w:rsidRPr="00000000">
        <w:rPr>
          <w:rtl w:val="0"/>
        </w:rPr>
      </w:r>
    </w:p>
    <w:p w:rsidR="00000000" w:rsidDel="00000000" w:rsidP="00000000" w:rsidRDefault="00000000" w:rsidRPr="00000000" w14:paraId="0000023A">
      <w:pPr>
        <w:ind w:firstLine="0"/>
        <w:jc w:val="left"/>
        <w:rPr>
          <w:rFonts w:ascii="Times New Roman" w:cs="Times New Roman" w:eastAsia="Times New Roman" w:hAnsi="Times New Roman"/>
          <w:i w:val="1"/>
          <w:color w:val="0000ff"/>
        </w:rPr>
      </w:pPr>
      <w:r w:rsidDel="00000000" w:rsidR="00000000" w:rsidRPr="00000000">
        <w:rPr>
          <w:rFonts w:ascii="Times New Roman" w:cs="Times New Roman" w:eastAsia="Times New Roman" w:hAnsi="Times New Roman"/>
          <w:i w:val="1"/>
          <w:color w:val="0000ff"/>
          <w:rtl w:val="0"/>
        </w:rPr>
        <w:t xml:space="preserve">Note.</w:t>
      </w:r>
      <w:r w:rsidDel="00000000" w:rsidR="00000000" w:rsidRPr="00000000">
        <w:rPr>
          <w:rFonts w:ascii="Times New Roman" w:cs="Times New Roman" w:eastAsia="Times New Roman" w:hAnsi="Times New Roman"/>
          <w:b w:val="1"/>
          <w:i w:val="1"/>
          <w:color w:val="0000ff"/>
          <w:rtl w:val="0"/>
        </w:rPr>
        <w:t xml:space="preserve"> </w:t>
      </w:r>
      <w:r w:rsidDel="00000000" w:rsidR="00000000" w:rsidRPr="00000000">
        <w:rPr>
          <w:rFonts w:ascii="Times New Roman" w:cs="Times New Roman" w:eastAsia="Times New Roman" w:hAnsi="Times New Roman"/>
          <w:i w:val="1"/>
          <w:color w:val="0000ff"/>
          <w:rtl w:val="0"/>
        </w:rPr>
        <w:t xml:space="preserve">M = fully manual set-up; H = hybrid manual-automated set-up; FA = fully automated set-up; numerical section numbers correspond to sections in the main body of the manuscript. “Potential solutions by participants” and “Stakeholders needed” are filled in only when participants specifically discussed them. </w:t>
      </w:r>
    </w:p>
    <w:p w:rsidR="00000000" w:rsidDel="00000000" w:rsidP="00000000" w:rsidRDefault="00000000" w:rsidRPr="00000000" w14:paraId="0000023B">
      <w:pPr>
        <w:widowControl w:val="0"/>
        <w:shd w:fill="auto" w:val="clear"/>
        <w:spacing w:line="276" w:lineRule="auto"/>
        <w:ind w:firstLine="0"/>
        <w:jc w:val="left"/>
        <w:rPr>
          <w:rFonts w:ascii="Times New Roman" w:cs="Times New Roman" w:eastAsia="Times New Roman" w:hAnsi="Times New Roman"/>
          <w:i w:val="1"/>
          <w:color w:val="0000ff"/>
        </w:rPr>
      </w:pPr>
      <w:r w:rsidDel="00000000" w:rsidR="00000000" w:rsidRPr="00000000">
        <w:rPr>
          <w:rFonts w:ascii="Times New Roman" w:cs="Times New Roman" w:eastAsia="Times New Roman" w:hAnsi="Times New Roman"/>
          <w:i w:val="1"/>
          <w:color w:val="0000ff"/>
          <w:rtl w:val="0"/>
        </w:rPr>
        <w:t xml:space="preserve"> </w:t>
      </w:r>
    </w:p>
    <w:p w:rsidR="00000000" w:rsidDel="00000000" w:rsidP="00000000" w:rsidRDefault="00000000" w:rsidRPr="00000000" w14:paraId="0000023C">
      <w:pPr>
        <w:ind w:firstLine="0"/>
        <w:jc w:val="left"/>
        <w:rPr/>
      </w:pPr>
      <w:r w:rsidDel="00000000" w:rsidR="00000000" w:rsidRPr="00000000">
        <w:rPr>
          <w:rtl w:val="0"/>
        </w:rPr>
      </w:r>
    </w:p>
    <w:sectPr>
      <w:type w:val="nextPage"/>
      <w:pgSz w:h="11906" w:w="16838" w:orient="landscape"/>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Tahoma">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4">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23D">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rFonts w:ascii="Times New Roman" w:cs="Times New Roman" w:eastAsia="Times New Roman" w:hAnsi="Times New Roman"/>
          <w:rtl w:val="0"/>
        </w:rPr>
        <w:t xml:space="preserve">https://developer.apple.com/documentation/apptrackingtransparency</w:t>
      </w:r>
    </w:p>
  </w:footnote>
  <w:footnote w:id="1">
    <w:p w:rsidR="00000000" w:rsidDel="00000000" w:rsidP="00000000" w:rsidRDefault="00000000" w:rsidRPr="00000000" w14:paraId="0000023E">
      <w:pPr>
        <w:spacing w:line="240" w:lineRule="auto"/>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https://consentomatic.au.dk/</w:t>
      </w:r>
      <w:r w:rsidDel="00000000" w:rsidR="00000000" w:rsidRPr="00000000">
        <w:rPr>
          <w:rtl w:val="0"/>
        </w:rPr>
      </w:r>
    </w:p>
  </w:footnote>
  <w:footnote w:id="2">
    <w:p w:rsidR="00000000" w:rsidDel="00000000" w:rsidP="00000000" w:rsidRDefault="00000000" w:rsidRPr="00000000" w14:paraId="0000023F">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https://solidproject.org/TR/protocol</w:t>
      </w:r>
    </w:p>
  </w:footnote>
  <w:footnote w:id="3">
    <w:p w:rsidR="00000000" w:rsidDel="00000000" w:rsidP="00000000" w:rsidRDefault="00000000" w:rsidRPr="00000000" w14:paraId="00000240">
      <w:pPr>
        <w:spacing w:line="240" w:lineRule="auto"/>
        <w:rPr/>
      </w:pPr>
      <w:r w:rsidDel="00000000" w:rsidR="00000000" w:rsidRPr="00000000">
        <w:rPr>
          <w:rStyle w:val="FootnoteReference"/>
          <w:vertAlign w:val="superscript"/>
        </w:rPr>
        <w:footnoteRef/>
      </w:r>
      <w:r w:rsidDel="00000000" w:rsidR="00000000" w:rsidRPr="00000000">
        <w:rPr>
          <w:rtl w:val="0"/>
        </w:rPr>
        <w:t xml:space="preserve"> https://globalprivacycontrol.org/ </w:t>
      </w:r>
    </w:p>
  </w:footnote>
  <w:footnote w:id="4">
    <w:p w:rsidR="00000000" w:rsidDel="00000000" w:rsidP="00000000" w:rsidRDefault="00000000" w:rsidRPr="00000000" w14:paraId="00000241">
      <w:pPr>
        <w:spacing w:line="240" w:lineRule="auto"/>
        <w:rPr>
          <w:sz w:val="18"/>
          <w:szCs w:val="18"/>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sz w:val="18"/>
          <w:szCs w:val="18"/>
          <w:rtl w:val="0"/>
        </w:rPr>
        <w:t xml:space="preserve">See BGH, January 27, 2022 - III ZR 3/21</w:t>
      </w:r>
    </w:p>
  </w:footnote>
  <w:footnote w:id="5">
    <w:p w:rsidR="00000000" w:rsidDel="00000000" w:rsidP="00000000" w:rsidRDefault="00000000" w:rsidRPr="00000000" w14:paraId="00000242">
      <w:pPr>
        <w:spacing w:line="240" w:lineRule="auto"/>
        <w:rPr>
          <w:sz w:val="17"/>
          <w:szCs w:val="17"/>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rFonts w:ascii="Roboto" w:cs="Roboto" w:eastAsia="Roboto" w:hAnsi="Roboto"/>
          <w:sz w:val="17"/>
          <w:szCs w:val="17"/>
          <w:rtl w:val="0"/>
        </w:rPr>
        <w:t xml:space="preserve">https://joinup.ec.europa.eu/</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3">
    <w:pPr>
      <w:ind w:firstLine="0"/>
      <w:jc w:val="left"/>
      <w:rPr>
        <w:i w:val="1"/>
        <w:sz w:val="14"/>
        <w:szCs w:val="14"/>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lang w:val="en"/>
      </w:rPr>
    </w:rPrDefault>
    <w:pPrDefault>
      <w:pPr>
        <w:shd w:fill="ffffff" w:val="clear"/>
        <w:spacing w:line="360" w:lineRule="auto"/>
        <w:ind w:firstLine="425"/>
        <w:jc w:val="both"/>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120" w:before="400" w:lineRule="auto"/>
      <w:ind w:firstLine="0"/>
    </w:pPr>
    <w:rPr>
      <w:b w:val="1"/>
      <w:sz w:val="24"/>
      <w:szCs w:val="24"/>
    </w:rPr>
  </w:style>
  <w:style w:type="paragraph" w:styleId="Heading2">
    <w:name w:val="heading 2"/>
    <w:basedOn w:val="Normal"/>
    <w:next w:val="Normal"/>
    <w:pPr>
      <w:keepNext w:val="1"/>
      <w:keepLines w:val="1"/>
      <w:spacing w:before="240" w:lineRule="auto"/>
    </w:pPr>
    <w:rPr>
      <w:b w:val="1"/>
      <w:i w:val="1"/>
    </w:rPr>
  </w:style>
  <w:style w:type="paragraph" w:styleId="Heading3">
    <w:name w:val="heading 3"/>
    <w:basedOn w:val="Normal"/>
    <w:next w:val="Normal"/>
    <w:pPr>
      <w:keepNext w:val="1"/>
      <w:keepLines w:val="1"/>
      <w:ind w:firstLine="0"/>
    </w:pPr>
    <w:rPr>
      <w:b w:val="1"/>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lineRule="auto"/>
    </w:pPr>
    <w:rPr>
      <w:sz w:val="52"/>
      <w:szCs w:val="52"/>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5.0" w:type="dxa"/>
        <w:left w:w="15.0" w:type="dxa"/>
        <w:bottom w:w="15.0" w:type="dxa"/>
        <w:right w:w="15.0" w:type="dxa"/>
      </w:tblCellMar>
    </w:tblPr>
  </w:style>
  <w:style w:type="table" w:styleId="a1" w:customStyle="1">
    <w:basedOn w:val="TableNormal"/>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5.0" w:type="dxa"/>
        <w:left w:w="15.0" w:type="dxa"/>
        <w:bottom w:w="15.0" w:type="dxa"/>
        <w:right w:w="15.0" w:type="dxa"/>
      </w:tblCellMar>
    </w:tblPr>
  </w:style>
  <w:style w:type="table" w:styleId="Table3">
    <w:basedOn w:val="TableNormal"/>
    <w:tblPr>
      <w:tblStyleRowBandSize w:val="1"/>
      <w:tblStyleColBandSize w:val="1"/>
      <w:tblCellMar>
        <w:top w:w="15.0" w:type="dxa"/>
        <w:left w:w="15.0" w:type="dxa"/>
        <w:bottom w:w="15.0" w:type="dxa"/>
        <w:right w:w="15.0" w:type="dxa"/>
      </w:tblCellMar>
    </w:tblPr>
  </w:style>
  <w:style w:type="table" w:styleId="Table4">
    <w:basedOn w:val="TableNormal"/>
    <w:pPr/>
    <w:rPr/>
    <w:tblPr>
      <w:tblStyleRowBandSize w:val="1"/>
      <w:tblStyleColBandSize w:val="1"/>
      <w:tblCellMar>
        <w:top w:w="100.0" w:type="dxa"/>
        <w:left w:w="100.0" w:type="dxa"/>
        <w:bottom w:w="100.0" w:type="dxa"/>
        <w:right w:w="100.0" w:type="dxa"/>
      </w:tblCellMar>
    </w:tblPr>
    <w:tblStylePr w:type="band1Horz">
      <w:pPr/>
      <w:rPr/>
      <w:tcPr/>
    </w:tblStylePr>
    <w:tblStylePr w:type="band1Vert">
      <w:pPr/>
      <w:rPr/>
      <w:tcPr/>
    </w:tblStylePr>
    <w:tblStylePr w:type="band2Horz">
      <w:pPr/>
      <w:rPr/>
      <w:tcPr/>
    </w:tblStylePr>
    <w:tblStylePr w:type="band2Vert">
      <w:pPr/>
      <w:rPr/>
      <w:tcPr/>
    </w:tblStylePr>
    <w:tblStylePr w:type="firstCol">
      <w:pPr/>
      <w:rPr/>
      <w:tcPr/>
    </w:tblStylePr>
    <w:tblStylePr w:type="firstRow">
      <w:pPr/>
      <w:rPr/>
      <w:tcPr/>
    </w:tblStylePr>
    <w:tblStylePr w:type="lastCol">
      <w:pPr/>
      <w:rPr/>
      <w:tcPr/>
    </w:tblStylePr>
    <w:tblStylePr w:type="lastRow">
      <w:pPr/>
      <w:rPr/>
      <w:tcPr/>
    </w:tblStylePr>
    <w:tblStylePr w:type="neCell">
      <w:pPr/>
      <w:rPr/>
      <w:tcPr/>
    </w:tblStylePr>
    <w:tblStylePr w:type="nwCell">
      <w:pPr/>
      <w:rPr/>
      <w:tcPr/>
    </w:tblStylePr>
    <w:tblStylePr w:type="seCell">
      <w:pPr/>
      <w:rPr/>
      <w:tcPr/>
    </w:tblStylePr>
    <w:tblStylePr w:type="swCell">
      <w:pPr/>
      <w:rPr/>
      <w:tcPr/>
    </w:tblStyle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arxiv.org/abs/1809.08396" TargetMode="External"/><Relationship Id="rId42" Type="http://schemas.openxmlformats.org/officeDocument/2006/relationships/hyperlink" Target="https://proceedings.mlr.press/v54/mcmahan17a?ref=https://githubhelp.com" TargetMode="External"/><Relationship Id="rId41" Type="http://schemas.openxmlformats.org/officeDocument/2006/relationships/hyperlink" Target="https://www.usenix.org/conference/soups2016/technical-sessions/presentation/liu" TargetMode="External"/><Relationship Id="rId44" Type="http://schemas.openxmlformats.org/officeDocument/2006/relationships/hyperlink" Target="https://www.scitepress.org/Documents/2016/56811/" TargetMode="External"/><Relationship Id="rId43" Type="http://schemas.openxmlformats.org/officeDocument/2006/relationships/hyperlink" Target="http://dx.doi.org/10.1007/s10462-022-10246-w" TargetMode="External"/><Relationship Id="rId46" Type="http://schemas.openxmlformats.org/officeDocument/2006/relationships/hyperlink" Target="http://dx.doi.org/10.1109/PAC.2018.00010" TargetMode="External"/><Relationship Id="rId45" Type="http://schemas.openxmlformats.org/officeDocument/2006/relationships/hyperlink" Target="http://dx.doi.org/10.1007/978-3-319-67816-0_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dx.doi.org/10.1007/s40319-023-01325-8" TargetMode="External"/><Relationship Id="rId48" Type="http://schemas.openxmlformats.org/officeDocument/2006/relationships/hyperlink" Target="http://dx.doi.org/10.1145/3491101.3519683" TargetMode="External"/><Relationship Id="rId47" Type="http://schemas.openxmlformats.org/officeDocument/2006/relationships/hyperlink" Target="http://dx.doi.org/10.1162/daed_a_00113" TargetMode="External"/><Relationship Id="rId49" Type="http://schemas.openxmlformats.org/officeDocument/2006/relationships/hyperlink" Target="http://dx.doi.org/10.1080/1369118X.2018.1486870"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dx.doi.org/10.5220/0005689701260137" TargetMode="External"/><Relationship Id="rId31" Type="http://schemas.openxmlformats.org/officeDocument/2006/relationships/hyperlink" Target="http://dx.doi.org/10.1080/13504500009470049" TargetMode="External"/><Relationship Id="rId30" Type="http://schemas.openxmlformats.org/officeDocument/2006/relationships/hyperlink" Target="http://dx.doi.org/10.1086/714133" TargetMode="External"/><Relationship Id="rId33" Type="http://schemas.openxmlformats.org/officeDocument/2006/relationships/hyperlink" Target="http://dx.doi.org/10.1109/ACCESS.2021.3130086" TargetMode="External"/><Relationship Id="rId32" Type="http://schemas.openxmlformats.org/officeDocument/2006/relationships/hyperlink" Target="http://dx.doi.org/10.1108/14636689910802052" TargetMode="External"/><Relationship Id="rId35" Type="http://schemas.openxmlformats.org/officeDocument/2006/relationships/hyperlink" Target="http://dx.doi.org/10.1080/07421222.2017.1334467" TargetMode="External"/><Relationship Id="rId34" Type="http://schemas.openxmlformats.org/officeDocument/2006/relationships/hyperlink" Target="http://dx.doi.org/10.1109/access.2022.3157850" TargetMode="External"/><Relationship Id="rId71" Type="http://schemas.openxmlformats.org/officeDocument/2006/relationships/footer" Target="footer1.xml"/><Relationship Id="rId70" Type="http://schemas.openxmlformats.org/officeDocument/2006/relationships/header" Target="header1.xml"/><Relationship Id="rId37" Type="http://schemas.openxmlformats.org/officeDocument/2006/relationships/hyperlink" Target="https://library.oapen.org/bitstream/handle/20.500.12657/52825/978-3-030-82786-1.pdf?sequence=1#page=365" TargetMode="External"/><Relationship Id="rId36" Type="http://schemas.openxmlformats.org/officeDocument/2006/relationships/hyperlink" Target="http://dx.doi.org/10.1109/msp.2017.3151331" TargetMode="External"/><Relationship Id="rId39" Type="http://schemas.openxmlformats.org/officeDocument/2006/relationships/hyperlink" Target="http://dx.doi.org/10.1016/j.eswa.2014.11.031" TargetMode="External"/><Relationship Id="rId38" Type="http://schemas.openxmlformats.org/officeDocument/2006/relationships/hyperlink" Target="http://dx.doi.org/10.1007/978-3-319-58735-6_10" TargetMode="External"/><Relationship Id="rId62" Type="http://schemas.openxmlformats.org/officeDocument/2006/relationships/hyperlink" Target="http://dx.doi.org/10.1016/j.clsr.2021.105541" TargetMode="External"/><Relationship Id="rId61" Type="http://schemas.openxmlformats.org/officeDocument/2006/relationships/hyperlink" Target="http://dx.doi.org/10.1016/j.chb.2015.09.038" TargetMode="External"/><Relationship Id="rId20" Type="http://schemas.openxmlformats.org/officeDocument/2006/relationships/hyperlink" Target="http://dx.doi.org/10.1109/MPRV.2018.03367733" TargetMode="External"/><Relationship Id="rId64" Type="http://schemas.openxmlformats.org/officeDocument/2006/relationships/hyperlink" Target="http://dx.doi.org/10.1016/j.techfore.2011.03.010" TargetMode="External"/><Relationship Id="rId63" Type="http://schemas.openxmlformats.org/officeDocument/2006/relationships/hyperlink" Target="http://dx.doi.org/10.1109/TEM.2008.922634" TargetMode="External"/><Relationship Id="rId22" Type="http://schemas.openxmlformats.org/officeDocument/2006/relationships/hyperlink" Target="http://dx.doi.org/10.1016/j.clsr.2024.106072" TargetMode="External"/><Relationship Id="rId66" Type="http://schemas.openxmlformats.org/officeDocument/2006/relationships/hyperlink" Target="http://dx.doi.org/10.1145/2702123.2702293" TargetMode="External"/><Relationship Id="rId21" Type="http://schemas.openxmlformats.org/officeDocument/2006/relationships/hyperlink" Target="https://w3c.github.io/dpv/2.0/dpv/" TargetMode="External"/><Relationship Id="rId65" Type="http://schemas.openxmlformats.org/officeDocument/2006/relationships/hyperlink" Target="http://dx.doi.org/10.1007/978-3-540-73354-6_88" TargetMode="External"/><Relationship Id="rId24" Type="http://schemas.openxmlformats.org/officeDocument/2006/relationships/hyperlink" Target="https://dash.harvard.edu/handle/1/37371416" TargetMode="External"/><Relationship Id="rId68" Type="http://schemas.openxmlformats.org/officeDocument/2006/relationships/hyperlink" Target="http://dx.doi.org/10.1016/j.ijhcs.2016.09.006" TargetMode="External"/><Relationship Id="rId23" Type="http://schemas.openxmlformats.org/officeDocument/2006/relationships/hyperlink" Target="http://dx.doi.org/10.2196/53113" TargetMode="External"/><Relationship Id="rId67" Type="http://schemas.openxmlformats.org/officeDocument/2006/relationships/hyperlink" Target="http://dx.doi.org/10.1007/978-3-030-42504-3_19" TargetMode="External"/><Relationship Id="rId60" Type="http://schemas.openxmlformats.org/officeDocument/2006/relationships/hyperlink" Target="https://heinonline.org/HOL/P?h=hein.journals/jhtl14&amp;i=371" TargetMode="External"/><Relationship Id="rId26" Type="http://schemas.openxmlformats.org/officeDocument/2006/relationships/hyperlink" Target="https://edpb.europa.eu/sites/edpb/files/consultation/edpb_guidelines_201904_dataprotection_by_design_and_by_default.pdf" TargetMode="External"/><Relationship Id="rId25" Type="http://schemas.openxmlformats.org/officeDocument/2006/relationships/hyperlink" Target="https://data.europa.eu/doi/10.2760/748099" TargetMode="External"/><Relationship Id="rId69" Type="http://schemas.openxmlformats.org/officeDocument/2006/relationships/hyperlink" Target="http://dx.doi.org/10.1093/idpl/ipae011" TargetMode="External"/><Relationship Id="rId28" Type="http://schemas.openxmlformats.org/officeDocument/2006/relationships/hyperlink" Target="http://dx.doi.org/10.1145/2766498.2766506" TargetMode="External"/><Relationship Id="rId27" Type="http://schemas.openxmlformats.org/officeDocument/2006/relationships/hyperlink" Target="http://dx.doi.org/10.1017/cbo9781316658888.004" TargetMode="External"/><Relationship Id="rId29" Type="http://schemas.openxmlformats.org/officeDocument/2006/relationships/hyperlink" Target="http://dx.doi.org/10.1016/S1361-3723(12)70083-0" TargetMode="External"/><Relationship Id="rId51" Type="http://schemas.openxmlformats.org/officeDocument/2006/relationships/hyperlink" Target="http://dx.doi.org/10.1007/978-3-030-33246-4_44" TargetMode="External"/><Relationship Id="rId50" Type="http://schemas.openxmlformats.org/officeDocument/2006/relationships/hyperlink" Target="http://dx.doi.org/10.1007/978-3-030-00063-9_14" TargetMode="External"/><Relationship Id="rId53" Type="http://schemas.openxmlformats.org/officeDocument/2006/relationships/hyperlink" Target="http://dx.doi.org/10.1108/14636680810918586" TargetMode="External"/><Relationship Id="rId52" Type="http://schemas.openxmlformats.org/officeDocument/2006/relationships/hyperlink" Target="https://privacyassistant.org/" TargetMode="External"/><Relationship Id="rId11" Type="http://schemas.openxmlformats.org/officeDocument/2006/relationships/hyperlink" Target="http://dx.doi.org/10.1201/9781420036282-7" TargetMode="External"/><Relationship Id="rId55" Type="http://schemas.openxmlformats.org/officeDocument/2006/relationships/hyperlink" Target="http://dx.doi.org/10.1109/INM.2015.7140304" TargetMode="External"/><Relationship Id="rId10" Type="http://schemas.openxmlformats.org/officeDocument/2006/relationships/hyperlink" Target="http://dx.doi.org/10.1016/j.chb.2015.11.022" TargetMode="External"/><Relationship Id="rId54" Type="http://schemas.openxmlformats.org/officeDocument/2006/relationships/hyperlink" Target="http://dx.doi.org/10.1080/10447310801937999" TargetMode="External"/><Relationship Id="rId13" Type="http://schemas.openxmlformats.org/officeDocument/2006/relationships/hyperlink" Target="http://dx.doi.org/10.1007/978-3-030-23597-0_4" TargetMode="External"/><Relationship Id="rId57" Type="http://schemas.openxmlformats.org/officeDocument/2006/relationships/hyperlink" Target="http://dx.doi.org/10.1016/j.techsoc.2020.101422" TargetMode="External"/><Relationship Id="rId12" Type="http://schemas.openxmlformats.org/officeDocument/2006/relationships/hyperlink" Target="http://dx.doi.org/10.1002/capr.12360" TargetMode="External"/><Relationship Id="rId56" Type="http://schemas.openxmlformats.org/officeDocument/2006/relationships/hyperlink" Target="https://heinonline.org/HOL/P?h=hein.journals/berktech30&amp;i=51" TargetMode="External"/><Relationship Id="rId15" Type="http://schemas.openxmlformats.org/officeDocument/2006/relationships/hyperlink" Target="http://dx.doi.org/10.1145/3313831.3376389" TargetMode="External"/><Relationship Id="rId59" Type="http://schemas.openxmlformats.org/officeDocument/2006/relationships/hyperlink" Target="http://dx.doi.org/10.1111/j.1748-720X.2012.00669.x" TargetMode="External"/><Relationship Id="rId14" Type="http://schemas.openxmlformats.org/officeDocument/2006/relationships/hyperlink" Target="http://dx.doi.org/10.3390/e25050717" TargetMode="External"/><Relationship Id="rId58" Type="http://schemas.openxmlformats.org/officeDocument/2006/relationships/hyperlink" Target="http://dx.doi.org/10.1145/3386392.3397593" TargetMode="External"/><Relationship Id="rId17" Type="http://schemas.openxmlformats.org/officeDocument/2006/relationships/hyperlink" Target="https://linc.cnil.fr/proteger-la-vie-privee-en-2030-une-exploration-prospective-et-speculative" TargetMode="External"/><Relationship Id="rId16" Type="http://schemas.openxmlformats.org/officeDocument/2006/relationships/hyperlink" Target="http://dx.doi.org/10.1007/978-1-4419-6967-5_9" TargetMode="External"/><Relationship Id="rId19" Type="http://schemas.openxmlformats.org/officeDocument/2006/relationships/hyperlink" Target="https://www.researchgate.net/profile/Preetam-Dammu/publication/368245575_Explainable_and_Personalized_Privacy_Prediction/links/63dddd30c97bd76a8263f45d/Explainable-and-Personalized-Privacy-Prediction.pdf" TargetMode="External"/><Relationship Id="rId18" Type="http://schemas.openxmlformats.org/officeDocument/2006/relationships/hyperlink" Target="http://dx.doi.org/10.2139/ssrn.4787609"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Tahoma-regular.ttf"/><Relationship Id="rId6" Type="http://schemas.openxmlformats.org/officeDocument/2006/relationships/font" Target="fonts/Tahoma-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EeDQpxJ1xEgdYhz8dzR2yYUX+A==">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2025-02-10T22:13:00Z</dcterms:created>
</cp:coreProperties>
</file>